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spacing w:beforeAutospacing="1" w:afterAutospacing="1"/>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Layout w:type="fixed"/>
        <w:tblCellMar>
          <w:top w:w="45" w:type="dxa"/>
          <w:left w:w="45" w:type="dxa"/>
          <w:bottom w:w="45" w:type="dxa"/>
          <w:right w:w="45" w:type="dxa"/>
        </w:tblCellMar>
      </w:tblPr>
      <w:tblGrid>
        <w:gridCol w:w="2723"/>
        <w:gridCol w:w="5220"/>
      </w:tblGrid>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项目编号：</w:t>
            </w:r>
          </w:p>
        </w:tc>
        <w:tc>
          <w:tcPr>
            <w:tcW w:w="5220" w:type="dxa"/>
            <w:shd w:val="clear" w:color="auto" w:fill="auto"/>
            <w:vAlign w:val="center"/>
          </w:tcPr>
          <w:p>
            <w:pPr>
              <w:rPr>
                <w:rFonts w:ascii="宋体" w:hAnsi="宋体" w:cs="宋体"/>
                <w:sz w:val="30"/>
                <w:szCs w:val="30"/>
              </w:rPr>
            </w:pPr>
            <w:r>
              <w:rPr>
                <w:rFonts w:ascii="宋体" w:hAnsi="宋体" w:cs="宋体"/>
                <w:sz w:val="30"/>
                <w:szCs w:val="30"/>
              </w:rPr>
              <w:t>PSCG2022000018</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项目名称：</w:t>
            </w:r>
          </w:p>
        </w:tc>
        <w:tc>
          <w:tcPr>
            <w:tcW w:w="5220" w:type="dxa"/>
            <w:shd w:val="clear" w:color="auto" w:fill="auto"/>
            <w:vAlign w:val="center"/>
          </w:tcPr>
          <w:p>
            <w:pPr>
              <w:rPr>
                <w:rFonts w:ascii="宋体" w:hAnsi="宋体" w:cs="宋体"/>
                <w:sz w:val="30"/>
                <w:szCs w:val="30"/>
              </w:rPr>
            </w:pPr>
            <w:r>
              <w:rPr>
                <w:rFonts w:ascii="宋体" w:hAnsi="宋体" w:cs="宋体" w:hint="eastAsia"/>
                <w:sz w:val="30"/>
                <w:szCs w:val="30"/>
              </w:rPr>
              <w:t>南方科技大学坪山生物医药研究院抗新冠口服药ATV014小分子药物临床研究(IND)技术服务</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包 号：</w:t>
            </w:r>
          </w:p>
        </w:tc>
        <w:tc>
          <w:tcPr>
            <w:tcW w:w="5220" w:type="dxa"/>
            <w:shd w:val="clear" w:color="auto" w:fill="auto"/>
            <w:vAlign w:val="center"/>
          </w:tcPr>
          <w:p>
            <w:pPr>
              <w:rPr>
                <w:rFonts w:eastAsia="宋体"/>
                <w:sz w:val="30"/>
                <w:szCs w:val="30"/>
              </w:rPr>
            </w:pPr>
            <w:r>
              <w:rPr>
                <w:rFonts w:ascii="宋体" w:eastAsia="宋体" w:hAnsi="宋体" w:cs="宋体" w:hint="eastAsia"/>
                <w:sz w:val="30"/>
                <w:szCs w:val="30"/>
              </w:rPr>
              <w:t>B</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项目类型：</w:t>
            </w:r>
          </w:p>
        </w:tc>
        <w:tc>
          <w:tcPr>
            <w:tcW w:w="5220" w:type="dxa"/>
            <w:shd w:val="clear" w:color="auto" w:fill="auto"/>
            <w:vAlign w:val="center"/>
          </w:tcPr>
          <w:p>
            <w:pPr>
              <w:rPr>
                <w:sz w:val="30"/>
                <w:szCs w:val="30"/>
              </w:rPr>
            </w:pPr>
            <w:r>
              <w:rPr>
                <w:rFonts w:ascii="宋体" w:hAnsi="宋体" w:cs="宋体" w:hint="eastAsia"/>
                <w:sz w:val="30"/>
                <w:szCs w:val="30"/>
              </w:rPr>
              <w:t>服务</w:t>
            </w:r>
            <w:r>
              <w:rPr>
                <w:rFonts w:ascii="宋体" w:hAnsi="宋体" w:cs="宋体"/>
                <w:sz w:val="30"/>
                <w:szCs w:val="30"/>
              </w:rPr>
              <w:t>类</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采购方式：</w:t>
            </w:r>
          </w:p>
        </w:tc>
        <w:tc>
          <w:tcPr>
            <w:tcW w:w="5220" w:type="dxa"/>
            <w:shd w:val="clear" w:color="auto" w:fill="auto"/>
            <w:vAlign w:val="center"/>
          </w:tcPr>
          <w:p>
            <w:pPr>
              <w:rPr>
                <w:sz w:val="30"/>
                <w:szCs w:val="30"/>
              </w:rPr>
            </w:pPr>
            <w:r>
              <w:rPr>
                <w:rFonts w:ascii="宋体" w:hAnsi="宋体" w:cs="宋体"/>
                <w:sz w:val="30"/>
                <w:szCs w:val="30"/>
              </w:rPr>
              <w:t>公开招标</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货币类型：</w:t>
            </w:r>
          </w:p>
        </w:tc>
        <w:tc>
          <w:tcPr>
            <w:tcW w:w="5220" w:type="dxa"/>
            <w:shd w:val="clear" w:color="auto" w:fill="auto"/>
            <w:vAlign w:val="center"/>
          </w:tcPr>
          <w:p>
            <w:pPr>
              <w:rPr>
                <w:sz w:val="30"/>
                <w:szCs w:val="30"/>
              </w:rPr>
            </w:pPr>
            <w:r>
              <w:rPr>
                <w:rFonts w:ascii="宋体" w:hAnsi="宋体" w:cs="宋体"/>
                <w:sz w:val="30"/>
                <w:szCs w:val="30"/>
              </w:rPr>
              <w:t>人民币</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评标方法：</w:t>
            </w:r>
          </w:p>
        </w:tc>
        <w:tc>
          <w:tcPr>
            <w:tcW w:w="5220" w:type="dxa"/>
            <w:shd w:val="clear" w:color="auto" w:fill="auto"/>
            <w:vAlign w:val="center"/>
          </w:tcPr>
          <w:p>
            <w:pPr>
              <w:rPr>
                <w:sz w:val="30"/>
                <w:szCs w:val="30"/>
              </w:rPr>
            </w:pPr>
            <w:r>
              <w:rPr>
                <w:rFonts w:ascii="宋体" w:hAnsi="宋体" w:cs="宋体" w:hint="eastAsia"/>
                <w:sz w:val="30"/>
                <w:szCs w:val="30"/>
              </w:rPr>
              <w:t>最低价法/</w:t>
            </w:r>
            <w:r>
              <w:rPr>
                <w:rFonts w:ascii="宋体" w:hAnsi="宋体" w:cs="宋体"/>
                <w:sz w:val="30"/>
                <w:szCs w:val="30"/>
              </w:rPr>
              <w:t>综合评分法（新价格分算法）</w:t>
            </w:r>
          </w:p>
        </w:tc>
      </w:tr>
    </w:tbl>
    <w:p>
      <w:pPr>
        <w:pStyle w:val="NormalWeb"/>
        <w:jc w:val="center"/>
        <w:outlineLvl w:val="1"/>
        <w:rPr>
          <w:rFonts w:ascii="黑体" w:eastAsia="黑体" w:hAnsi="黑体"/>
          <w:sz w:val="40"/>
          <w:szCs w:val="40"/>
        </w:rPr>
      </w:pPr>
      <w:r>
        <w:rPr>
          <w:rFonts w:ascii="黑体" w:eastAsia="黑体" w:hAnsi="黑体" w:hint="eastAsia"/>
          <w:sz w:val="40"/>
          <w:szCs w:val="40"/>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ascii="宋体" w:hAnsi="宋体" w:cs="宋体"/>
                <w:szCs w:val="21"/>
              </w:rPr>
              <w:t>投标人不</w:t>
            </w:r>
            <w:r>
              <w:rPr>
                <w:rFonts w:ascii="宋体" w:hAnsi="宋体" w:cs="宋体" w:hint="eastAsia"/>
                <w:szCs w:val="21"/>
              </w:rPr>
              <w:t>符合</w:t>
            </w:r>
            <w:r>
              <w:rPr>
                <w:rFonts w:ascii="宋体" w:hAnsi="宋体" w:cs="宋体"/>
                <w:szCs w:val="21"/>
              </w:rPr>
              <w:t>资格要求，或未提交相应的资格证明资料（详见招标公告</w:t>
            </w:r>
            <w:r>
              <w:rPr>
                <w:rFonts w:ascii="宋体" w:hAnsi="宋体" w:hint="eastAsia"/>
                <w:szCs w:val="21"/>
              </w:rPr>
              <w:t>投标人资格要求，即申请人的资格要求</w:t>
            </w:r>
            <w:r>
              <w:rPr>
                <w:rFonts w:ascii="宋体" w:hAnsi="宋体" w:cs="宋体"/>
                <w:szCs w:val="21"/>
              </w:rPr>
              <w:t>）</w:t>
            </w:r>
          </w:p>
        </w:tc>
      </w:tr>
    </w:tbl>
    <w:p>
      <w:pPr>
        <w:pStyle w:val="NormalWeb"/>
        <w:spacing w:before="280"/>
        <w:jc w:val="center"/>
        <w:outlineLvl w:val="1"/>
        <w:rPr>
          <w:rFonts w:ascii="黑体" w:eastAsia="黑体" w:hAnsi="黑体"/>
          <w:sz w:val="40"/>
          <w:szCs w:val="40"/>
        </w:rPr>
      </w:pPr>
      <w:r>
        <w:rPr>
          <w:rFonts w:ascii="黑体" w:eastAsia="黑体" w:hAnsi="黑体" w:hint="eastAsia"/>
          <w:sz w:val="40"/>
          <w:szCs w:val="40"/>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将一个包或一个标段的内容拆开投标；</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对同一项目投标时，提供两套以上的投标方案（招标文件另有规定的除外）；</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分项报价或投标总价高于相应财政预算金额（或设定的财政预算金额下的最高限价）；</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4</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5</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6</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7</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投标报价有缺漏项目,或者对招标文件规定的项目需求内容或者需求数量进行修改，评审委员会判定投标响应不满足采购需求；</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8</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投标文件存在列放位置错误，导致属于信息公开情形的没有被公开；</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9</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投标文件电子文档带病毒；</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10</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投标文件用不属于本公司的电子密钥进行加密的；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误选了非本项目的最新加密规则文件，导致投标文件不能在开标时解密；</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法律、法规、规章、规范性文件规定的其他情形。</w:t>
            </w:r>
          </w:p>
        </w:tc>
      </w:tr>
    </w:tbl>
    <w:p>
      <w:pPr>
        <w:pStyle w:val="NormalWeb"/>
        <w:jc w:val="center"/>
        <w:outlineLvl w:val="1"/>
        <w:rPr>
          <w:rFonts w:ascii="黑体" w:eastAsia="黑体" w:hAnsi="黑体"/>
          <w:sz w:val="40"/>
          <w:szCs w:val="40"/>
        </w:rPr>
      </w:pPr>
      <w:r>
        <w:rPr>
          <w:rFonts w:ascii="黑体" w:eastAsia="黑体" w:hAnsi="黑体" w:hint="eastAsia"/>
          <w:sz w:val="40"/>
          <w:szCs w:val="40"/>
        </w:rPr>
        <w:t>评标信息</w:t>
      </w:r>
    </w:p>
    <w:tbl>
      <w:tblPr>
        <w:tblStyle w:val="TableNormal"/>
        <w:tblpPr w:leftFromText="180" w:rightFromText="180" w:vertAnchor="text" w:horzAnchor="page" w:tblpX="1126" w:tblpY="391"/>
        <w:tblOverlap w:val="never"/>
        <w:tblW w:w="9526" w:type="dxa"/>
        <w:tblCellSpacing w:w="0" w:type="dxa"/>
        <w:tblInd w:w="0" w:type="dxa"/>
        <w:tblLayout w:type="fixed"/>
        <w:tblCellMar>
          <w:top w:w="45" w:type="dxa"/>
          <w:left w:w="45" w:type="dxa"/>
          <w:bottom w:w="45" w:type="dxa"/>
          <w:right w:w="45" w:type="dxa"/>
        </w:tblCellMar>
      </w:tblPr>
      <w:tblGrid>
        <w:gridCol w:w="9321"/>
        <w:gridCol w:w="205"/>
      </w:tblGrid>
      <w:tr>
        <w:tblPrEx>
          <w:tblW w:w="9526" w:type="dxa"/>
          <w:tblCellSpacing w:w="0" w:type="dxa"/>
          <w:tblInd w:w="0" w:type="dxa"/>
          <w:tblLayout w:type="fixed"/>
          <w:tblCellMar>
            <w:top w:w="45" w:type="dxa"/>
            <w:left w:w="45" w:type="dxa"/>
            <w:bottom w:w="45" w:type="dxa"/>
            <w:right w:w="45" w:type="dxa"/>
          </w:tblCellMar>
        </w:tblPrEx>
        <w:trPr>
          <w:tblCellSpacing w:w="0" w:type="dxa"/>
        </w:trPr>
        <w:tc>
          <w:tcPr>
            <w:tcW w:w="9321" w:type="dxa"/>
            <w:tcBorders>
              <w:top w:val="nil"/>
              <w:left w:val="nil"/>
              <w:bottom w:val="nil"/>
              <w:right w:val="nil"/>
            </w:tcBorders>
            <w:vAlign w:val="center"/>
          </w:tcPr>
          <w:p>
            <w:pPr>
              <w:rPr>
                <w:rFonts w:ascii="宋体" w:hAnsi="宋体" w:cs="宋体"/>
                <w:b/>
                <w:bCs/>
              </w:rPr>
            </w:pPr>
            <w:r>
              <w:rPr>
                <w:b/>
                <w:bCs/>
              </w:rPr>
              <w:t>评标方法：</w:t>
            </w:r>
            <w:r>
              <w:rPr>
                <w:rFonts w:hint="eastAsia"/>
                <w:b/>
                <w:bCs/>
              </w:rPr>
              <w:t>最低价法/</w:t>
            </w:r>
            <w:r>
              <w:rPr>
                <w:b/>
                <w:bCs/>
              </w:rPr>
              <w:t>综合评分法（新价格分算法）</w:t>
            </w:r>
          </w:p>
        </w:tc>
        <w:tc>
          <w:tcPr>
            <w:tcW w:w="205" w:type="dxa"/>
            <w:tcBorders>
              <w:top w:val="nil"/>
              <w:left w:val="nil"/>
              <w:bottom w:val="nil"/>
              <w:right w:val="nil"/>
            </w:tcBorders>
            <w:vAlign w:val="center"/>
          </w:tcPr>
          <w:p>
            <w:pPr>
              <w:jc w:val="right"/>
              <w:rPr>
                <w:rFonts w:ascii="宋体" w:hAnsi="宋体" w:cs="宋体"/>
                <w:b/>
                <w:bCs/>
              </w:rPr>
            </w:pPr>
          </w:p>
        </w:tc>
      </w:tr>
      <w:tr>
        <w:tblPrEx>
          <w:tblW w:w="9526" w:type="dxa"/>
          <w:tblCellSpacing w:w="0" w:type="dxa"/>
          <w:tblInd w:w="0" w:type="dxa"/>
          <w:tblLayout w:type="fixed"/>
          <w:tblCellMar>
            <w:top w:w="45" w:type="dxa"/>
            <w:left w:w="45" w:type="dxa"/>
            <w:bottom w:w="45" w:type="dxa"/>
            <w:right w:w="45" w:type="dxa"/>
          </w:tblCellMar>
        </w:tblPrEx>
        <w:trPr>
          <w:tblCellSpacing w:w="0" w:type="dxa"/>
        </w:trPr>
        <w:tc>
          <w:tcPr>
            <w:tcW w:w="9526" w:type="dxa"/>
            <w:gridSpan w:val="2"/>
            <w:tcBorders>
              <w:top w:val="nil"/>
              <w:left w:val="nil"/>
              <w:bottom w:val="nil"/>
              <w:right w:val="nil"/>
            </w:tcBorders>
            <w:vAlign w:val="center"/>
          </w:tcPr>
          <w:p>
            <w:pPr>
              <w:ind w:firstLine="480" w:firstLineChars="200"/>
              <w:rPr>
                <w:sz w:val="21"/>
                <w:szCs w:val="21"/>
              </w:rPr>
            </w:pPr>
            <w:r>
              <w:rPr>
                <w:rFonts w:hint="eastAsia"/>
                <w:sz w:val="21"/>
                <w:szCs w:val="21"/>
              </w:rPr>
              <w:t>综合评分法，是指投标文件满足招标文件全部实质性要求，且按照评审因素的量化指标评审得分，评标结果按评审后得分由高到低顺序排列。以排序在前的三名投标供应商作为候选中标供应商（候选成交供应商不进行排名），采用自定法定标。</w:t>
            </w:r>
          </w:p>
          <w:p>
            <w:pPr>
              <w:ind w:firstLine="480" w:firstLineChars="200"/>
              <w:rPr>
                <w:sz w:val="21"/>
                <w:szCs w:val="21"/>
              </w:rPr>
            </w:pPr>
            <w:r>
              <w:rPr>
                <w:rFonts w:hint="eastAsia"/>
                <w:sz w:val="21"/>
                <w:szCs w:val="21"/>
              </w:rPr>
              <w:t>确定中标供应商按评审后得分由高到低顺序排列。得分相同的，按投标报价由低到高顺序排列。得分且投标报价相同的按照评审因素中商务部分的评审得分由高到低顺序排列。再次相同的，通过随机抽取的方式确定。</w:t>
            </w:r>
          </w:p>
          <w:p>
            <w:pPr>
              <w:pStyle w:val="NormalWeb"/>
              <w:ind w:firstLine="420"/>
              <w:rPr>
                <w:sz w:val="21"/>
                <w:szCs w:val="21"/>
              </w:rPr>
            </w:pPr>
            <w:r>
              <w:rPr>
                <w:sz w:val="21"/>
                <w:szCs w:val="21"/>
              </w:rPr>
              <w:t>价格分计算方法：</w:t>
            </w:r>
          </w:p>
          <w:p>
            <w:pPr>
              <w:pStyle w:val="NormalWeb"/>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r>
            <w:r>
              <w:rPr>
                <w:sz w:val="21"/>
                <w:szCs w:val="21"/>
              </w:rPr>
              <w:t xml:space="preserve">投标报价得分=(评标基准价／投标报价)×100 </w:t>
            </w:r>
            <w:r>
              <w:rPr>
                <w:sz w:val="21"/>
                <w:szCs w:val="21"/>
              </w:rPr>
              <w:br/>
            </w:r>
            <w:r>
              <w:rPr>
                <w:sz w:val="21"/>
                <w:szCs w:val="21"/>
              </w:rPr>
              <w:t xml:space="preserve">评标总得分＝F1×A1＋F2×A2＋……＋Fn×An </w:t>
            </w:r>
            <w:r>
              <w:rPr>
                <w:sz w:val="21"/>
                <w:szCs w:val="21"/>
              </w:rPr>
              <w:br/>
            </w:r>
            <w:r>
              <w:rPr>
                <w:sz w:val="21"/>
                <w:szCs w:val="21"/>
              </w:rPr>
              <w:t xml:space="preserve">F1、F2……Fn分别为各项评审因素的得分； </w:t>
            </w:r>
            <w:r>
              <w:rPr>
                <w:sz w:val="21"/>
                <w:szCs w:val="21"/>
              </w:rPr>
              <w:br/>
            </w:r>
            <w:r>
              <w:rPr>
                <w:sz w:val="21"/>
                <w:szCs w:val="21"/>
              </w:rPr>
              <w:t xml:space="preserve">A1、A2、……An 分别为各项评审因素所占的权重(A1＋A2＋……＋An＝1)。 </w:t>
            </w:r>
            <w:r>
              <w:rPr>
                <w:sz w:val="21"/>
                <w:szCs w:val="21"/>
              </w:rPr>
              <w:br/>
            </w:r>
            <w:r>
              <w:rPr>
                <w:sz w:val="21"/>
                <w:szCs w:val="21"/>
              </w:rPr>
              <w:t xml:space="preserve">评标过程中，不得去掉报价中的最高报价和最低报价。 </w:t>
            </w:r>
            <w:r>
              <w:rPr>
                <w:sz w:val="21"/>
                <w:szCs w:val="21"/>
              </w:rPr>
              <w:br/>
            </w:r>
            <w:r>
              <w:rPr>
                <w:sz w:val="21"/>
                <w:szCs w:val="21"/>
              </w:rPr>
              <w:t xml:space="preserve">此方法适用于货物类、服务类、工程类项目。 </w:t>
            </w:r>
          </w:p>
        </w:tc>
      </w:tr>
    </w:tbl>
    <w:p>
      <w:pPr>
        <w:rPr>
          <w:vanish/>
        </w:rPr>
      </w:pPr>
    </w:p>
    <w:p>
      <w:pPr>
        <w:pStyle w:val="BodyText"/>
        <w:rPr>
          <w:vanish/>
        </w:rPr>
      </w:pPr>
    </w:p>
    <w:p>
      <w:pPr>
        <w:pStyle w:val="Quote"/>
        <w:rPr>
          <w:vanish/>
        </w:rPr>
      </w:pPr>
    </w:p>
    <w:p>
      <w:pPr>
        <w:rPr>
          <w:vanish/>
        </w:rPr>
      </w:pPr>
    </w:p>
    <w:p>
      <w:pPr>
        <w:pStyle w:val="BodyText"/>
        <w:rPr>
          <w:vanish/>
        </w:rPr>
      </w:pPr>
    </w:p>
    <w:p>
      <w:pPr>
        <w:pStyle w:val="Quote"/>
        <w:rPr>
          <w:vanish/>
        </w:rPr>
      </w:pPr>
    </w:p>
    <w:p>
      <w:pPr>
        <w:jc w:val="center"/>
        <w:rPr>
          <w:b/>
          <w:sz w:val="120"/>
          <w:szCs w:val="120"/>
        </w:rPr>
      </w:pPr>
    </w:p>
    <w:tbl>
      <w:tblPr>
        <w:tblStyle w:val="TableNormal"/>
        <w:tblW w:w="9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7"/>
        <w:gridCol w:w="1572"/>
        <w:gridCol w:w="852"/>
        <w:gridCol w:w="4710"/>
        <w:gridCol w:w="1760"/>
      </w:tblGrid>
      <w:tr>
        <w:tblPrEx>
          <w:tblW w:w="9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Ex>
        <w:trPr>
          <w:trHeight w:hRule="exact" w:val="567"/>
          <w:jc w:val="center"/>
        </w:trPr>
        <w:tc>
          <w:tcPr>
            <w:tcW w:w="7821" w:type="dxa"/>
            <w:gridSpan w:val="4"/>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评分项及评分规则</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r>
      <w:tr>
        <w:tblPrEx>
          <w:tblW w:w="9581" w:type="dxa"/>
          <w:jc w:val="center"/>
          <w:tblLayout w:type="fixed"/>
          <w:tblCellMar>
            <w:top w:w="0" w:type="dxa"/>
            <w:left w:w="108" w:type="dxa"/>
            <w:bottom w:w="0" w:type="dxa"/>
            <w:right w:w="108" w:type="dxa"/>
          </w:tblCellMar>
        </w:tblPrEx>
        <w:trPr>
          <w:trHeight w:val="567"/>
          <w:jc w:val="center"/>
        </w:trPr>
        <w:tc>
          <w:tcPr>
            <w:tcW w:w="7821" w:type="dxa"/>
            <w:gridSpan w:val="4"/>
            <w:vAlign w:val="center"/>
          </w:tcPr>
          <w:p>
            <w:pPr>
              <w:widowControl w:val="0"/>
              <w:autoSpaceDE w:val="0"/>
              <w:autoSpaceDN w:val="0"/>
              <w:jc w:val="center"/>
              <w:rPr>
                <w:rFonts w:ascii="宋体" w:hAnsi="宋体"/>
                <w:szCs w:val="21"/>
                <w:lang w:val="zh-CN"/>
              </w:rPr>
            </w:pPr>
            <w:r>
              <w:rPr>
                <w:rFonts w:ascii="宋体" w:hAnsi="宋体" w:hint="eastAsia"/>
                <w:b/>
                <w:bCs/>
                <w:szCs w:val="21"/>
                <w:lang w:val="zh-CN"/>
              </w:rPr>
              <w:t>一、价格部分</w:t>
            </w:r>
          </w:p>
        </w:tc>
        <w:tc>
          <w:tcPr>
            <w:tcW w:w="1760" w:type="dxa"/>
            <w:vAlign w:val="center"/>
          </w:tcPr>
          <w:p>
            <w:pPr>
              <w:widowControl w:val="0"/>
              <w:autoSpaceDE w:val="0"/>
              <w:autoSpaceDN w:val="0"/>
              <w:jc w:val="center"/>
              <w:rPr>
                <w:rFonts w:ascii="宋体" w:eastAsia="宋体" w:hAnsi="宋体"/>
                <w:szCs w:val="21"/>
              </w:rPr>
            </w:pPr>
            <w:r>
              <w:rPr>
                <w:rFonts w:ascii="宋体" w:hAnsi="宋体" w:hint="eastAsia"/>
                <w:szCs w:val="21"/>
              </w:rPr>
              <w:t>15</w:t>
            </w:r>
          </w:p>
        </w:tc>
      </w:tr>
      <w:tr>
        <w:tblPrEx>
          <w:tblW w:w="9581" w:type="dxa"/>
          <w:jc w:val="center"/>
          <w:tblLayout w:type="fixed"/>
          <w:tblCellMar>
            <w:top w:w="0" w:type="dxa"/>
            <w:left w:w="108" w:type="dxa"/>
            <w:bottom w:w="0" w:type="dxa"/>
            <w:right w:w="108" w:type="dxa"/>
          </w:tblCellMar>
        </w:tblPrEx>
        <w:trPr>
          <w:trHeight w:val="411"/>
          <w:jc w:val="center"/>
        </w:trPr>
        <w:tc>
          <w:tcPr>
            <w:tcW w:w="7821" w:type="dxa"/>
            <w:gridSpan w:val="4"/>
            <w:vAlign w:val="center"/>
          </w:tcPr>
          <w:p>
            <w:pPr>
              <w:widowControl w:val="0"/>
              <w:ind w:firstLine="480" w:firstLineChars="200"/>
              <w:rPr>
                <w:rFonts w:ascii="宋体" w:hAnsi="宋体"/>
                <w:szCs w:val="21"/>
              </w:rPr>
            </w:pPr>
            <w:r>
              <w:rPr>
                <w:rFonts w:ascii="宋体" w:hAnsi="宋体" w:hint="eastAsia"/>
                <w:szCs w:val="21"/>
              </w:rPr>
              <w:t>根据《政府采购促进中小企业发展管理办法》（财库﹝2020﹞46 号），服务由中小企业承接的，即提供服务的人员为中小企业依照《中华人民共和国劳动合同法》订立劳动合同的从业人员，可享受本办法规定的中小企业扶持政策。</w:t>
            </w:r>
          </w:p>
          <w:p>
            <w:pPr>
              <w:widowControl w:val="0"/>
              <w:numPr>
                <w:ilvl w:val="0"/>
                <w:numId w:val="1"/>
              </w:numPr>
              <w:ind w:firstLine="480" w:firstLineChars="200"/>
              <w:rPr>
                <w:rFonts w:ascii="宋体" w:hAnsi="宋体"/>
                <w:szCs w:val="21"/>
              </w:rPr>
            </w:pPr>
            <w:r>
              <w:rPr>
                <w:rFonts w:ascii="宋体" w:hAnsi="宋体" w:hint="eastAsia"/>
                <w:szCs w:val="21"/>
              </w:rPr>
              <w:t>服务由小微企业承接的，可享受对其投标报价扣除</w:t>
            </w:r>
            <w:r>
              <w:rPr>
                <w:rFonts w:ascii="宋体" w:hAnsi="宋体" w:hint="eastAsia"/>
                <w:szCs w:val="21"/>
                <w:u w:val="single"/>
              </w:rPr>
              <w:t xml:space="preserve"> </w:t>
            </w:r>
            <w:r>
              <w:rPr>
                <w:rFonts w:ascii="宋体" w:hAnsi="宋体"/>
                <w:szCs w:val="21"/>
                <w:u w:val="single"/>
              </w:rPr>
              <w:t>10%</w:t>
            </w:r>
            <w:r>
              <w:rPr>
                <w:rFonts w:ascii="宋体" w:hAnsi="宋体" w:hint="eastAsia"/>
                <w:szCs w:val="21"/>
                <w:u w:val="single"/>
              </w:rPr>
              <w:t xml:space="preserve"> </w:t>
            </w:r>
            <w:r>
              <w:rPr>
                <w:rFonts w:ascii="宋体" w:hAnsi="宋体" w:hint="eastAsia"/>
                <w:szCs w:val="21"/>
              </w:rPr>
              <w:t>的价格评审优惠，用扣除后的价格参加评审。</w:t>
            </w:r>
          </w:p>
          <w:p>
            <w:pPr>
              <w:widowControl w:val="0"/>
              <w:ind w:firstLine="480" w:firstLineChars="200"/>
              <w:rPr>
                <w:rFonts w:ascii="宋体" w:hAnsi="宋体"/>
                <w:szCs w:val="21"/>
              </w:rPr>
            </w:pPr>
            <w:r>
              <w:rPr>
                <w:rFonts w:ascii="宋体" w:hAnsi="宋体" w:hint="eastAsia"/>
                <w:szCs w:val="21"/>
              </w:rPr>
              <w:t>（2）监狱企业、残疾人福利性单位视为小微企业，享受扶持政策。</w:t>
            </w:r>
          </w:p>
          <w:p>
            <w:pPr>
              <w:widowControl w:val="0"/>
              <w:ind w:firstLine="480" w:firstLineChars="200"/>
              <w:rPr>
                <w:rFonts w:ascii="宋体" w:hAnsi="宋体"/>
                <w:szCs w:val="21"/>
              </w:rPr>
            </w:pPr>
            <w:r>
              <w:rPr>
                <w:rFonts w:ascii="宋体" w:hAnsi="宋体" w:hint="eastAsia"/>
                <w:szCs w:val="21"/>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须享受中小企业扶持政策的，除上述资料外，还须提供省级以上监狱管理局、戒毒管理局（含新疆生产建设兵团）出具的监狱企业证明文件。</w:t>
            </w:r>
          </w:p>
          <w:p>
            <w:pPr>
              <w:widowControl w:val="0"/>
              <w:ind w:firstLine="480" w:firstLineChars="200"/>
              <w:rPr>
                <w:rFonts w:ascii="宋体" w:hAnsi="宋体"/>
                <w:szCs w:val="21"/>
              </w:rPr>
            </w:pPr>
            <w:r>
              <w:rPr>
                <w:rFonts w:ascii="宋体" w:hAnsi="宋体" w:hint="eastAsia"/>
                <w:szCs w:val="21"/>
              </w:rPr>
              <w:t>（4）供应商不重复享受多项价格评审优惠政策。</w:t>
            </w:r>
          </w:p>
          <w:p>
            <w:pPr>
              <w:widowControl w:val="0"/>
              <w:autoSpaceDE w:val="0"/>
              <w:autoSpaceDN w:val="0"/>
              <w:ind w:firstLine="480" w:firstLineChars="200"/>
              <w:rPr>
                <w:rFonts w:ascii="宋体" w:hAnsi="宋体"/>
                <w:szCs w:val="21"/>
                <w:lang w:val="zh-CN"/>
              </w:rPr>
            </w:pPr>
            <w:r>
              <w:rPr>
                <w:rFonts w:ascii="宋体" w:hAnsi="宋体" w:hint="eastAsia"/>
                <w:b/>
                <w:bCs/>
                <w:color w:val="FF0000"/>
                <w:szCs w:val="21"/>
              </w:rPr>
              <w:t>相关中小企业扶持政策具体以《政府采购促进中小企业发展管理办法》（财库〔2020〕46号）等最新规定为准。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p>
            <w:pPr>
              <w:widowControl w:val="0"/>
              <w:autoSpaceDE w:val="0"/>
              <w:autoSpaceDN w:val="0"/>
              <w:jc w:val="center"/>
              <w:rPr>
                <w:rFonts w:ascii="宋体" w:hAnsi="宋体"/>
                <w:szCs w:val="21"/>
              </w:rPr>
            </w:pPr>
            <w:r>
              <w:rPr>
                <w:rFonts w:ascii="宋体" w:hAnsi="宋体" w:hint="eastAsia"/>
                <w:szCs w:val="21"/>
                <w:lang w:val="zh-CN"/>
              </w:rPr>
              <w:t>按公式计算</w:t>
            </w:r>
          </w:p>
        </w:tc>
      </w:tr>
      <w:tr>
        <w:tblPrEx>
          <w:tblW w:w="9581" w:type="dxa"/>
          <w:jc w:val="center"/>
          <w:tblLayout w:type="fixed"/>
          <w:tblCellMar>
            <w:top w:w="0" w:type="dxa"/>
            <w:left w:w="108" w:type="dxa"/>
            <w:bottom w:w="0" w:type="dxa"/>
            <w:right w:w="108" w:type="dxa"/>
          </w:tblCellMar>
        </w:tblPrEx>
        <w:trPr>
          <w:trHeight w:val="624"/>
          <w:jc w:val="center"/>
        </w:trPr>
        <w:tc>
          <w:tcPr>
            <w:tcW w:w="7821" w:type="dxa"/>
            <w:gridSpan w:val="4"/>
            <w:vAlign w:val="center"/>
          </w:tcPr>
          <w:p>
            <w:pPr>
              <w:widowControl w:val="0"/>
              <w:autoSpaceDE w:val="0"/>
              <w:autoSpaceDN w:val="0"/>
              <w:jc w:val="center"/>
              <w:rPr>
                <w:rFonts w:ascii="宋体" w:hAnsi="宋体"/>
                <w:szCs w:val="21"/>
                <w:lang w:val="zh-CN"/>
              </w:rPr>
            </w:pPr>
            <w:r>
              <w:rPr>
                <w:rFonts w:ascii="宋体" w:hAnsi="宋体" w:hint="eastAsia"/>
                <w:b/>
                <w:bCs/>
                <w:szCs w:val="21"/>
                <w:lang w:val="zh-CN"/>
              </w:rPr>
              <w:t>二、技术部分</w:t>
            </w:r>
          </w:p>
        </w:tc>
        <w:tc>
          <w:tcPr>
            <w:tcW w:w="1760" w:type="dxa"/>
            <w:vAlign w:val="center"/>
          </w:tcPr>
          <w:p>
            <w:pPr>
              <w:widowControl w:val="0"/>
              <w:autoSpaceDE w:val="0"/>
              <w:autoSpaceDN w:val="0"/>
              <w:jc w:val="center"/>
              <w:rPr>
                <w:rFonts w:ascii="宋体" w:eastAsia="宋体" w:hAnsi="宋体"/>
                <w:szCs w:val="21"/>
              </w:rPr>
            </w:pPr>
            <w:r>
              <w:rPr>
                <w:rFonts w:ascii="宋体" w:hAnsi="宋体" w:hint="eastAsia"/>
                <w:szCs w:val="21"/>
              </w:rPr>
              <w:t>50</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序号</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内容</w:t>
            </w:r>
          </w:p>
        </w:tc>
        <w:tc>
          <w:tcPr>
            <w:tcW w:w="852"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c>
          <w:tcPr>
            <w:tcW w:w="471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评分规则</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1</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rPr>
              <w:t>实施方案</w:t>
            </w:r>
          </w:p>
        </w:tc>
        <w:tc>
          <w:tcPr>
            <w:tcW w:w="852" w:type="dxa"/>
            <w:vAlign w:val="center"/>
          </w:tcPr>
          <w:p>
            <w:pPr>
              <w:widowControl w:val="0"/>
              <w:autoSpaceDE w:val="0"/>
              <w:autoSpaceDN w:val="0"/>
              <w:jc w:val="center"/>
              <w:rPr>
                <w:rFonts w:ascii="宋体" w:eastAsia="宋体" w:hAnsi="宋体"/>
                <w:szCs w:val="21"/>
              </w:rPr>
            </w:pPr>
            <w:r>
              <w:rPr>
                <w:rFonts w:ascii="宋体" w:hAnsi="宋体" w:hint="eastAsia"/>
                <w:szCs w:val="21"/>
              </w:rPr>
              <w:t>20</w:t>
            </w:r>
          </w:p>
        </w:tc>
        <w:tc>
          <w:tcPr>
            <w:tcW w:w="4710" w:type="dxa"/>
          </w:tcPr>
          <w:p>
            <w:pPr>
              <w:widowControl w:val="0"/>
            </w:pPr>
            <w:r>
              <w:rPr>
                <w:rFonts w:ascii="宋体" w:hAnsi="宋体" w:hint="eastAsia"/>
                <w:szCs w:val="21"/>
              </w:rPr>
              <w:t>评审内容：</w:t>
            </w:r>
            <w:r>
              <w:rPr>
                <w:rFonts w:hint="eastAsia"/>
              </w:rPr>
              <w:t>按照新药申报格式内容提供方案；</w:t>
            </w:r>
          </w:p>
          <w:p>
            <w:pPr>
              <w:pStyle w:val="ListParagraph"/>
              <w:widowControl w:val="0"/>
              <w:numPr>
                <w:ilvl w:val="0"/>
                <w:numId w:val="2"/>
              </w:numPr>
              <w:ind w:firstLineChars="0"/>
              <w:rPr>
                <w:rFonts w:ascii="宋体" w:hAnsi="宋体"/>
                <w:szCs w:val="21"/>
              </w:rPr>
            </w:pPr>
            <w:r>
              <w:rPr>
                <w:rFonts w:ascii="宋体" w:hAnsi="宋体" w:hint="eastAsia"/>
                <w:szCs w:val="21"/>
              </w:rPr>
              <w:t>提供完整的项目的总体规划及实施方案；</w:t>
            </w:r>
          </w:p>
          <w:p>
            <w:pPr>
              <w:pStyle w:val="ListParagraph"/>
              <w:widowControl w:val="0"/>
              <w:numPr>
                <w:ilvl w:val="0"/>
                <w:numId w:val="2"/>
              </w:numPr>
              <w:ind w:firstLineChars="0"/>
              <w:rPr>
                <w:rFonts w:ascii="宋体" w:hAnsi="宋体"/>
                <w:szCs w:val="21"/>
              </w:rPr>
            </w:pPr>
            <w:r>
              <w:rPr>
                <w:rFonts w:ascii="宋体" w:hAnsi="宋体" w:hint="eastAsia"/>
                <w:szCs w:val="21"/>
              </w:rPr>
              <w:t>完成原料药工艺研究、优化及生产；</w:t>
            </w:r>
          </w:p>
          <w:p>
            <w:pPr>
              <w:pStyle w:val="ListParagraph"/>
              <w:widowControl w:val="0"/>
              <w:numPr>
                <w:ilvl w:val="0"/>
                <w:numId w:val="2"/>
              </w:numPr>
              <w:ind w:firstLineChars="0"/>
              <w:rPr>
                <w:rFonts w:ascii="宋体" w:hAnsi="宋体"/>
                <w:szCs w:val="21"/>
              </w:rPr>
            </w:pPr>
            <w:r>
              <w:rPr>
                <w:rFonts w:ascii="宋体" w:hAnsi="宋体" w:hint="eastAsia"/>
                <w:szCs w:val="21"/>
              </w:rPr>
              <w:t>完成制剂胶囊剂和片剂处方筛选、优化及生产；</w:t>
            </w:r>
          </w:p>
          <w:p>
            <w:pPr>
              <w:pStyle w:val="ListParagraph"/>
              <w:widowControl w:val="0"/>
              <w:numPr>
                <w:ilvl w:val="0"/>
                <w:numId w:val="2"/>
              </w:numPr>
              <w:ind w:firstLineChars="0"/>
              <w:rPr>
                <w:rFonts w:ascii="宋体" w:hAnsi="宋体"/>
                <w:szCs w:val="21"/>
              </w:rPr>
            </w:pPr>
            <w:r>
              <w:rPr>
                <w:rFonts w:ascii="宋体" w:hAnsi="宋体" w:hint="eastAsia"/>
                <w:szCs w:val="21"/>
              </w:rPr>
              <w:t>完成原料药起始物料、中间体质量研究，建立原料药质量标准；</w:t>
            </w:r>
          </w:p>
          <w:p>
            <w:pPr>
              <w:pStyle w:val="ListParagraph"/>
              <w:widowControl w:val="0"/>
              <w:numPr>
                <w:ilvl w:val="0"/>
                <w:numId w:val="2"/>
              </w:numPr>
              <w:ind w:firstLineChars="0"/>
              <w:rPr>
                <w:rFonts w:ascii="宋体" w:hAnsi="宋体"/>
                <w:szCs w:val="21"/>
              </w:rPr>
            </w:pPr>
            <w:r>
              <w:rPr>
                <w:rFonts w:ascii="宋体" w:hAnsi="宋体" w:hint="eastAsia"/>
                <w:szCs w:val="21"/>
              </w:rPr>
              <w:t>建立制剂质量标准；</w:t>
            </w:r>
          </w:p>
          <w:p>
            <w:pPr>
              <w:pStyle w:val="ListParagraph"/>
              <w:widowControl w:val="0"/>
              <w:numPr>
                <w:ilvl w:val="0"/>
                <w:numId w:val="2"/>
              </w:numPr>
              <w:ind w:firstLineChars="0"/>
              <w:rPr>
                <w:rFonts w:ascii="宋体" w:hAnsi="宋体"/>
                <w:szCs w:val="21"/>
              </w:rPr>
            </w:pPr>
            <w:r>
              <w:rPr>
                <w:rFonts w:ascii="宋体" w:hAnsi="宋体" w:hint="eastAsia"/>
                <w:szCs w:val="21"/>
              </w:rPr>
              <w:t>提供临床前药代和安全评价方案；</w:t>
            </w:r>
          </w:p>
          <w:p>
            <w:pPr>
              <w:pStyle w:val="ListParagraph"/>
              <w:widowControl w:val="0"/>
              <w:numPr>
                <w:ilvl w:val="0"/>
                <w:numId w:val="2"/>
              </w:numPr>
              <w:ind w:firstLineChars="0"/>
              <w:rPr>
                <w:rFonts w:ascii="宋体" w:hAnsi="宋体"/>
                <w:szCs w:val="21"/>
              </w:rPr>
            </w:pPr>
            <w:r>
              <w:rPr>
                <w:rFonts w:ascii="宋体" w:hAnsi="宋体" w:hint="eastAsia"/>
                <w:szCs w:val="21"/>
              </w:rPr>
              <w:t>提供的方案均符合中国和美国IND申报要求；</w:t>
            </w:r>
          </w:p>
          <w:p>
            <w:pPr>
              <w:pStyle w:val="ListParagraph"/>
              <w:widowControl w:val="0"/>
              <w:numPr>
                <w:ilvl w:val="0"/>
                <w:numId w:val="2"/>
              </w:numPr>
              <w:ind w:firstLineChars="0"/>
              <w:rPr>
                <w:rFonts w:ascii="宋体" w:hAnsi="宋体"/>
                <w:szCs w:val="21"/>
              </w:rPr>
            </w:pPr>
            <w:r>
              <w:rPr>
                <w:rFonts w:ascii="宋体" w:hAnsi="宋体" w:hint="eastAsia"/>
                <w:szCs w:val="21"/>
              </w:rPr>
              <w:t>提供项目管理方案。</w:t>
            </w:r>
          </w:p>
          <w:p>
            <w:pPr>
              <w:widowControl w:val="0"/>
            </w:pPr>
            <w:r>
              <w:rPr>
                <w:rFonts w:ascii="宋体" w:hAnsi="宋体" w:hint="eastAsia"/>
                <w:b/>
                <w:bCs/>
                <w:szCs w:val="21"/>
              </w:rPr>
              <w:t>评分标准：</w:t>
            </w:r>
            <w:r>
              <w:rPr>
                <w:rFonts w:ascii="宋体" w:hAnsi="宋体" w:hint="eastAsia"/>
                <w:szCs w:val="21"/>
              </w:rPr>
              <w:t>考察以上方案，如果全部响应得50分，响应任意五点以上得30分，其他不得分。</w:t>
            </w:r>
            <w:r>
              <w:rPr>
                <w:rFonts w:hint="eastAsia"/>
              </w:rPr>
              <w:t>在此基础上，专家根据各供应商的具体响应内容进一步评审：</w:t>
            </w:r>
          </w:p>
          <w:p>
            <w:pPr>
              <w:widowControl w:val="0"/>
              <w:autoSpaceDE w:val="0"/>
              <w:autoSpaceDN w:val="0"/>
              <w:rPr>
                <w:rFonts w:ascii="宋体" w:hAnsi="宋体"/>
                <w:szCs w:val="21"/>
              </w:rPr>
            </w:pPr>
            <w:r>
              <w:rPr>
                <w:rFonts w:ascii="宋体" w:hAnsi="宋体" w:hint="eastAsia"/>
                <w:szCs w:val="21"/>
              </w:rPr>
              <w:t>评审为优（方案完善，流程合理）的加50分；</w:t>
            </w:r>
          </w:p>
          <w:p>
            <w:pPr>
              <w:widowControl w:val="0"/>
              <w:rPr>
                <w:rFonts w:ascii="宋体" w:hAnsi="宋体"/>
                <w:szCs w:val="21"/>
              </w:rPr>
            </w:pPr>
            <w:r>
              <w:rPr>
                <w:rFonts w:ascii="宋体" w:hAnsi="宋体" w:hint="eastAsia"/>
                <w:szCs w:val="21"/>
              </w:rPr>
              <w:t>评价为良（方案较完善，流程较合理）的加25分；</w:t>
            </w:r>
          </w:p>
          <w:p>
            <w:pPr>
              <w:widowControl w:val="0"/>
              <w:rPr>
                <w:rFonts w:ascii="宋体" w:hAnsi="宋体"/>
                <w:szCs w:val="21"/>
              </w:rPr>
            </w:pPr>
            <w:r>
              <w:rPr>
                <w:rFonts w:ascii="宋体" w:hAnsi="宋体" w:hint="eastAsia"/>
                <w:szCs w:val="21"/>
              </w:rPr>
              <w:t>评价为中（项目方案一般，流程一般）的加10分；</w:t>
            </w:r>
          </w:p>
          <w:p>
            <w:pPr>
              <w:pStyle w:val="BodyText"/>
              <w:rPr>
                <w:rFonts w:eastAsia="宋体"/>
              </w:rPr>
            </w:pPr>
            <w:r>
              <w:rPr>
                <w:rFonts w:ascii="宋体" w:hAnsi="宋体" w:hint="eastAsia"/>
                <w:szCs w:val="21"/>
              </w:rPr>
              <w:t>其他情况不得分；</w:t>
            </w:r>
          </w:p>
          <w:p>
            <w:pPr>
              <w:widowControl w:val="0"/>
              <w:rPr>
                <w:rFonts w:ascii="宋体" w:hAnsi="宋体"/>
                <w:szCs w:val="21"/>
              </w:rPr>
            </w:pPr>
            <w:r>
              <w:rPr>
                <w:rFonts w:ascii="宋体" w:hAnsi="宋体" w:hint="eastAsia"/>
                <w:szCs w:val="21"/>
              </w:rPr>
              <w:t>未提供方案或提供的不清晰导致专家无法判断的不得分。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szCs w:val="21"/>
                <w:lang w:val="zh-CN"/>
              </w:rPr>
              <w:t>2</w:t>
            </w:r>
          </w:p>
        </w:tc>
        <w:tc>
          <w:tcPr>
            <w:tcW w:w="1572" w:type="dxa"/>
            <w:vAlign w:val="center"/>
          </w:tcPr>
          <w:p>
            <w:pPr>
              <w:widowControl w:val="0"/>
              <w:autoSpaceDE w:val="0"/>
              <w:autoSpaceDN w:val="0"/>
              <w:jc w:val="center"/>
              <w:rPr>
                <w:rFonts w:ascii="宋体" w:eastAsia="宋体" w:hAnsi="宋体" w:cs="宋体"/>
                <w:szCs w:val="21"/>
              </w:rPr>
            </w:pPr>
            <w:r>
              <w:rPr>
                <w:rFonts w:ascii="宋体" w:hAnsi="宋体" w:hint="eastAsia"/>
                <w:szCs w:val="21"/>
              </w:rPr>
              <w:t>IND申报时限</w:t>
            </w:r>
          </w:p>
        </w:tc>
        <w:tc>
          <w:tcPr>
            <w:tcW w:w="852" w:type="dxa"/>
            <w:vAlign w:val="center"/>
          </w:tcPr>
          <w:p>
            <w:pPr>
              <w:widowControl w:val="0"/>
              <w:autoSpaceDE w:val="0"/>
              <w:autoSpaceDN w:val="0"/>
              <w:jc w:val="center"/>
              <w:rPr>
                <w:rFonts w:ascii="宋体" w:hAnsi="宋体" w:cs="宋体"/>
                <w:szCs w:val="21"/>
              </w:rPr>
            </w:pPr>
            <w:r>
              <w:rPr>
                <w:rFonts w:ascii="宋体" w:hAnsi="宋体"/>
                <w:szCs w:val="21"/>
              </w:rPr>
              <w:t>8</w:t>
            </w:r>
          </w:p>
        </w:tc>
        <w:tc>
          <w:tcPr>
            <w:tcW w:w="4710" w:type="dxa"/>
          </w:tcPr>
          <w:p>
            <w:pPr>
              <w:widowControl w:val="0"/>
              <w:rPr>
                <w:rFonts w:ascii="宋体" w:hAnsi="宋体"/>
                <w:szCs w:val="21"/>
              </w:rPr>
            </w:pPr>
            <w:r>
              <w:rPr>
                <w:rFonts w:ascii="宋体" w:hAnsi="宋体" w:hint="eastAsia"/>
                <w:szCs w:val="21"/>
              </w:rPr>
              <w:t>评审内容：</w:t>
            </w:r>
          </w:p>
          <w:p>
            <w:pPr>
              <w:widowControl w:val="0"/>
            </w:pPr>
            <w:r>
              <w:rPr>
                <w:rFonts w:hint="eastAsia"/>
              </w:rPr>
              <w:t>在一定时间范围内完成项目开发内容及中美</w:t>
            </w:r>
            <w:r>
              <w:t>IND</w:t>
            </w:r>
            <w:r>
              <w:rPr>
                <w:rFonts w:hint="eastAsia"/>
              </w:rPr>
              <w:t>注册申报情况进行打分；</w:t>
            </w:r>
          </w:p>
          <w:p>
            <w:pPr>
              <w:widowControl w:val="0"/>
              <w:wordWrap w:val="0"/>
              <w:rPr>
                <w:rFonts w:asciiTheme="minorEastAsia" w:eastAsiaTheme="minorEastAsia" w:hAnsiTheme="minorEastAsia" w:cstheme="minorEastAsia"/>
                <w:b/>
                <w:bCs/>
              </w:rPr>
            </w:pPr>
            <w:r>
              <w:rPr>
                <w:rFonts w:asciiTheme="minorEastAsia" w:eastAsiaTheme="minorEastAsia" w:hAnsiTheme="minorEastAsia" w:cstheme="minorEastAsia" w:hint="eastAsia"/>
                <w:b/>
                <w:bCs/>
              </w:rPr>
              <w:t>评分标准：</w:t>
            </w:r>
          </w:p>
          <w:p>
            <w:pPr>
              <w:widowControl w:val="0"/>
              <w:autoSpaceDE w:val="0"/>
              <w:autoSpaceDN w:val="0"/>
              <w:rPr>
                <w:rFonts w:ascii="宋体" w:eastAsia="宋体" w:hAnsi="宋体" w:cs="宋体"/>
                <w:szCs w:val="21"/>
              </w:rPr>
            </w:pPr>
            <w:r>
              <w:rPr>
                <w:rFonts w:hint="eastAsia"/>
              </w:rPr>
              <w:t>承诺在</w:t>
            </w:r>
            <w:r>
              <w:rPr>
                <w:rFonts w:ascii="宋体" w:hAnsi="宋体"/>
                <w:szCs w:val="21"/>
              </w:rPr>
              <w:t>8个月内完成</w:t>
            </w:r>
            <w:r>
              <w:rPr>
                <w:rFonts w:hint="eastAsia"/>
              </w:rPr>
              <w:t>开发内容及中美</w:t>
            </w:r>
            <w:r>
              <w:t>IND</w:t>
            </w:r>
            <w:r>
              <w:rPr>
                <w:rFonts w:hint="eastAsia"/>
              </w:rPr>
              <w:t>注册申报的得100分；承诺在</w:t>
            </w:r>
            <w:r>
              <w:rPr>
                <w:rFonts w:ascii="宋体" w:hAnsi="宋体"/>
                <w:szCs w:val="21"/>
              </w:rPr>
              <w:t>10</w:t>
            </w:r>
            <w:r>
              <w:rPr>
                <w:rFonts w:ascii="宋体" w:hAnsi="宋体" w:hint="eastAsia"/>
                <w:szCs w:val="21"/>
              </w:rPr>
              <w:t>个月内完成</w:t>
            </w:r>
            <w:r>
              <w:rPr>
                <w:rFonts w:hint="eastAsia"/>
              </w:rPr>
              <w:t>开发内容及中美</w:t>
            </w:r>
            <w:r>
              <w:t>IND</w:t>
            </w:r>
            <w:r>
              <w:rPr>
                <w:rFonts w:hint="eastAsia"/>
              </w:rPr>
              <w:t>注册申报的得80分；承诺在</w:t>
            </w:r>
            <w:r>
              <w:rPr>
                <w:rFonts w:ascii="宋体" w:hAnsi="宋体"/>
                <w:szCs w:val="21"/>
              </w:rPr>
              <w:t>12</w:t>
            </w:r>
            <w:r>
              <w:rPr>
                <w:rFonts w:ascii="宋体" w:hAnsi="宋体" w:hint="eastAsia"/>
                <w:szCs w:val="21"/>
              </w:rPr>
              <w:t>个月内完成</w:t>
            </w:r>
            <w:r>
              <w:rPr>
                <w:rFonts w:hint="eastAsia"/>
              </w:rPr>
              <w:t>开发内容及中美</w:t>
            </w:r>
            <w:r>
              <w:t>IND</w:t>
            </w:r>
            <w:r>
              <w:rPr>
                <w:rFonts w:hint="eastAsia"/>
              </w:rPr>
              <w:t>注册申报的得60分；不承诺或要1</w:t>
            </w:r>
            <w:r>
              <w:t>2</w:t>
            </w:r>
            <w:r>
              <w:rPr>
                <w:rFonts w:hint="eastAsia"/>
              </w:rPr>
              <w:t>个月以上完</w:t>
            </w:r>
            <w:r>
              <w:rPr>
                <w:rFonts w:ascii="宋体" w:hAnsi="宋体" w:hint="eastAsia"/>
                <w:szCs w:val="21"/>
              </w:rPr>
              <w:t>成</w:t>
            </w:r>
            <w:r>
              <w:rPr>
                <w:rFonts w:hint="eastAsia"/>
              </w:rPr>
              <w:t>开发内容及中美</w:t>
            </w:r>
            <w:r>
              <w:t>IND</w:t>
            </w:r>
            <w:r>
              <w:rPr>
                <w:rFonts w:hint="eastAsia"/>
              </w:rPr>
              <w:t>注册申报的不得分。（由投标人提供承诺函加盖投</w:t>
            </w:r>
            <w:r>
              <w:rPr>
                <w:rFonts w:ascii="宋体" w:eastAsia="宋体" w:hAnsi="宋体" w:cs="宋体" w:hint="eastAsia"/>
              </w:rPr>
              <w:t>标</w:t>
            </w:r>
            <w:r>
              <w:rPr>
                <w:rFonts w:hint="eastAsia"/>
              </w:rPr>
              <w:t>人公章）</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5014"/>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3</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质量及售后保障措施及方案</w:t>
            </w:r>
          </w:p>
        </w:tc>
        <w:tc>
          <w:tcPr>
            <w:tcW w:w="852" w:type="dxa"/>
            <w:vAlign w:val="center"/>
          </w:tcPr>
          <w:p>
            <w:pPr>
              <w:widowControl w:val="0"/>
              <w:autoSpaceDE w:val="0"/>
              <w:autoSpaceDN w:val="0"/>
              <w:jc w:val="center"/>
              <w:rPr>
                <w:rFonts w:ascii="宋体" w:eastAsia="宋体" w:hAnsi="宋体" w:cs="宋体"/>
                <w:szCs w:val="21"/>
              </w:rPr>
            </w:pPr>
            <w:r>
              <w:rPr>
                <w:rFonts w:ascii="宋体" w:hAnsi="宋体" w:hint="eastAsia"/>
                <w:szCs w:val="21"/>
              </w:rPr>
              <w:t>12</w:t>
            </w:r>
          </w:p>
        </w:tc>
        <w:tc>
          <w:tcPr>
            <w:tcW w:w="4710" w:type="dxa"/>
          </w:tcPr>
          <w:p>
            <w:pPr>
              <w:widowControl w:val="0"/>
              <w:rPr>
                <w:rFonts w:ascii="宋体" w:hAnsi="宋体"/>
                <w:bCs/>
                <w:iCs/>
                <w:szCs w:val="21"/>
              </w:rPr>
            </w:pPr>
            <w:r>
              <w:rPr>
                <w:rFonts w:ascii="宋体" w:hAnsi="宋体" w:hint="eastAsia"/>
                <w:bCs/>
                <w:iCs/>
                <w:szCs w:val="21"/>
              </w:rPr>
              <w:t>评审内容：</w:t>
            </w:r>
          </w:p>
          <w:p>
            <w:pPr>
              <w:pStyle w:val="BodyText"/>
              <w:widowControl w:val="0"/>
              <w:spacing w:line="240" w:lineRule="auto"/>
            </w:pPr>
            <w:r>
              <w:rPr>
                <w:rFonts w:ascii="宋体" w:hAnsi="宋体" w:hint="eastAsia"/>
                <w:iCs/>
                <w:szCs w:val="21"/>
              </w:rPr>
              <w:t>投标人须提供的方案中包括：</w:t>
            </w:r>
          </w:p>
          <w:p>
            <w:pPr>
              <w:widowControl w:val="0"/>
              <w:wordWrap w:val="0"/>
              <w:rPr>
                <w:rFonts w:ascii="宋体" w:eastAsia="宋体" w:hAnsi="宋体"/>
                <w:bCs/>
                <w:iCs/>
                <w:szCs w:val="21"/>
              </w:rPr>
            </w:pPr>
            <w:r>
              <w:rPr>
                <w:rFonts w:ascii="宋体" w:hAnsi="宋体"/>
                <w:bCs/>
                <w:iCs/>
                <w:szCs w:val="21"/>
              </w:rPr>
              <w:t>1.</w:t>
            </w:r>
            <w:r>
              <w:rPr>
                <w:rFonts w:ascii="宋体" w:hAnsi="宋体" w:hint="eastAsia"/>
                <w:bCs/>
                <w:iCs/>
                <w:szCs w:val="21"/>
              </w:rPr>
              <w:t>提供项目进程时间表；</w:t>
            </w:r>
          </w:p>
          <w:p>
            <w:pPr>
              <w:widowControl w:val="0"/>
              <w:rPr>
                <w:rFonts w:ascii="宋体" w:eastAsia="宋体" w:hAnsi="宋体"/>
                <w:bCs/>
                <w:iCs/>
                <w:szCs w:val="21"/>
              </w:rPr>
            </w:pPr>
            <w:r>
              <w:rPr>
                <w:rFonts w:ascii="宋体" w:hAnsi="宋体"/>
                <w:bCs/>
                <w:iCs/>
                <w:szCs w:val="21"/>
              </w:rPr>
              <w:t>2.</w:t>
            </w:r>
            <w:r>
              <w:rPr>
                <w:rFonts w:ascii="宋体" w:hAnsi="宋体" w:hint="eastAsia"/>
                <w:bCs/>
                <w:iCs/>
                <w:szCs w:val="21"/>
              </w:rPr>
              <w:t>项目进度保障措施及方案；</w:t>
            </w:r>
          </w:p>
          <w:p>
            <w:pPr>
              <w:pStyle w:val="BodyText"/>
              <w:rPr>
                <w:rFonts w:eastAsia="宋体"/>
              </w:rPr>
            </w:pPr>
            <w:r>
              <w:rPr>
                <w:rFonts w:ascii="宋体" w:hAnsi="宋体" w:hint="eastAsia"/>
                <w:iCs/>
                <w:szCs w:val="21"/>
              </w:rPr>
              <w:t>3.售后服务保障措施及方案。</w:t>
            </w:r>
          </w:p>
          <w:p>
            <w:pPr>
              <w:widowControl w:val="0"/>
              <w:rPr>
                <w:rFonts w:ascii="宋体" w:hAnsi="宋体"/>
                <w:b/>
                <w:iCs/>
                <w:szCs w:val="21"/>
              </w:rPr>
            </w:pPr>
            <w:r>
              <w:rPr>
                <w:rFonts w:ascii="宋体" w:hAnsi="宋体" w:hint="eastAsia"/>
                <w:b/>
                <w:iCs/>
                <w:szCs w:val="21"/>
              </w:rPr>
              <w:t>评分标准：</w:t>
            </w:r>
          </w:p>
          <w:p>
            <w:pPr>
              <w:widowControl w:val="0"/>
            </w:pPr>
            <w:r>
              <w:rPr>
                <w:rFonts w:hint="eastAsia"/>
              </w:rPr>
              <w:t>考察以上方案，如果全部响应</w:t>
            </w:r>
            <w:r>
              <w:rPr>
                <w:rFonts w:ascii="宋体" w:eastAsia="宋体" w:hAnsi="宋体" w:cs="宋体" w:hint="eastAsia"/>
              </w:rPr>
              <w:t>得</w:t>
            </w:r>
            <w:r>
              <w:rPr>
                <w:rFonts w:hint="eastAsia"/>
              </w:rPr>
              <w:t>50分；响应二项的得30分，其他不得分。在此基础上，专家根据各供应商的具体响应内容进一步评审：</w:t>
            </w:r>
          </w:p>
          <w:p>
            <w:pPr>
              <w:widowControl w:val="0"/>
              <w:rPr>
                <w:rFonts w:ascii="Times New Roman" w:hAnsi="Times New Roman"/>
                <w:bCs/>
                <w:iCs/>
                <w:szCs w:val="21"/>
              </w:rPr>
            </w:pPr>
            <w:r>
              <w:rPr>
                <w:rFonts w:ascii="宋体" w:hAnsi="宋体" w:hint="eastAsia"/>
                <w:bCs/>
                <w:iCs/>
                <w:szCs w:val="21"/>
              </w:rPr>
              <w:t>评审为优（方案完善，工作安排和售后保障措施考虑周到，流程合理，时间周期及售后服务响应时间最短的）的</w:t>
            </w:r>
            <w:r>
              <w:rPr>
                <w:rFonts w:ascii="宋体" w:eastAsia="宋体" w:hAnsi="宋体" w:cs="宋体" w:hint="eastAsia"/>
                <w:bCs/>
                <w:iCs/>
                <w:szCs w:val="21"/>
              </w:rPr>
              <w:t>得</w:t>
            </w:r>
            <w:r>
              <w:rPr>
                <w:rFonts w:ascii="Times New Roman" w:hAnsi="Times New Roman" w:hint="default"/>
                <w:bCs/>
                <w:iCs/>
                <w:szCs w:val="21"/>
              </w:rPr>
              <w:t>50</w:t>
            </w:r>
            <w:r>
              <w:rPr>
                <w:rFonts w:ascii="宋体" w:eastAsia="宋体" w:hAnsi="宋体" w:cs="宋体" w:hint="eastAsia"/>
                <w:bCs/>
                <w:iCs/>
                <w:szCs w:val="21"/>
              </w:rPr>
              <w:t>分；</w:t>
            </w:r>
          </w:p>
          <w:p>
            <w:pPr>
              <w:widowControl w:val="0"/>
              <w:rPr>
                <w:rFonts w:ascii="Times New Roman" w:hAnsi="Times New Roman"/>
                <w:bCs/>
                <w:iCs/>
                <w:szCs w:val="21"/>
              </w:rPr>
            </w:pPr>
            <w:r>
              <w:rPr>
                <w:rFonts w:ascii="宋体" w:eastAsia="宋体" w:hAnsi="宋体" w:cs="宋体" w:hint="eastAsia"/>
                <w:bCs/>
                <w:iCs/>
                <w:szCs w:val="21"/>
              </w:rPr>
              <w:t>评价为良（方案较完善，工作安排和保障措施考虑较周到，流程较合理）的得</w:t>
            </w:r>
            <w:r>
              <w:rPr>
                <w:rFonts w:ascii="Times New Roman" w:hAnsi="Times New Roman" w:hint="default"/>
                <w:bCs/>
                <w:iCs/>
                <w:szCs w:val="21"/>
              </w:rPr>
              <w:t>25</w:t>
            </w:r>
            <w:r>
              <w:rPr>
                <w:rFonts w:ascii="宋体" w:eastAsia="宋体" w:hAnsi="宋体" w:cs="宋体" w:hint="eastAsia"/>
                <w:bCs/>
                <w:iCs/>
                <w:szCs w:val="21"/>
              </w:rPr>
              <w:t>分；</w:t>
            </w:r>
          </w:p>
          <w:p>
            <w:pPr>
              <w:widowControl w:val="0"/>
              <w:rPr>
                <w:rFonts w:ascii="宋体" w:hAnsi="宋体"/>
                <w:bCs/>
                <w:iCs/>
                <w:szCs w:val="21"/>
              </w:rPr>
            </w:pPr>
            <w:r>
              <w:rPr>
                <w:rFonts w:ascii="宋体" w:eastAsia="宋体" w:hAnsi="宋体" w:cs="宋体" w:hint="eastAsia"/>
                <w:bCs/>
                <w:iCs/>
                <w:szCs w:val="21"/>
              </w:rPr>
              <w:t>评价为中（项目方案一般，工作安排和保障措施考虑基本周到，流程一般）的得</w:t>
            </w:r>
            <w:r>
              <w:rPr>
                <w:rFonts w:ascii="Times New Roman" w:hAnsi="Times New Roman" w:hint="default"/>
                <w:bCs/>
                <w:iCs/>
                <w:szCs w:val="21"/>
              </w:rPr>
              <w:t>10</w:t>
            </w:r>
            <w:r>
              <w:rPr>
                <w:rFonts w:ascii="宋体" w:hAnsi="宋体" w:hint="eastAsia"/>
                <w:bCs/>
                <w:iCs/>
                <w:szCs w:val="21"/>
              </w:rPr>
              <w:t>分；</w:t>
            </w:r>
          </w:p>
          <w:p>
            <w:pPr>
              <w:pStyle w:val="BodyText"/>
              <w:rPr>
                <w:rFonts w:eastAsia="宋体"/>
              </w:rPr>
            </w:pPr>
            <w:r>
              <w:rPr>
                <w:rFonts w:ascii="宋体" w:hAnsi="宋体" w:hint="eastAsia"/>
                <w:szCs w:val="21"/>
              </w:rPr>
              <w:t>其他情况不得分；</w:t>
            </w:r>
          </w:p>
          <w:p>
            <w:pPr>
              <w:widowControl w:val="0"/>
              <w:autoSpaceDE w:val="0"/>
              <w:autoSpaceDN w:val="0"/>
              <w:rPr>
                <w:rFonts w:ascii="宋体" w:hAnsi="宋体" w:cs="宋体"/>
                <w:b/>
                <w:bCs/>
                <w:szCs w:val="21"/>
              </w:rPr>
            </w:pPr>
            <w:r>
              <w:rPr>
                <w:rFonts w:ascii="宋体" w:hAnsi="宋体" w:hint="eastAsia"/>
                <w:szCs w:val="21"/>
              </w:rPr>
              <w:t>未提供方案或提供的不清晰导致专家无法判断的不得分。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4</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项目完成（服务期满）后的服务承诺</w:t>
            </w:r>
          </w:p>
        </w:tc>
        <w:tc>
          <w:tcPr>
            <w:tcW w:w="852" w:type="dxa"/>
            <w:vAlign w:val="center"/>
          </w:tcPr>
          <w:p>
            <w:pPr>
              <w:widowControl w:val="0"/>
              <w:autoSpaceDE w:val="0"/>
              <w:autoSpaceDN w:val="0"/>
              <w:jc w:val="center"/>
              <w:rPr>
                <w:rFonts w:ascii="宋体" w:hAnsi="宋体" w:cs="宋体"/>
                <w:szCs w:val="21"/>
              </w:rPr>
            </w:pPr>
            <w:r>
              <w:rPr>
                <w:rFonts w:ascii="宋体" w:hAnsi="宋体" w:hint="eastAsia"/>
                <w:szCs w:val="21"/>
              </w:rPr>
              <w:t>5</w:t>
            </w:r>
          </w:p>
        </w:tc>
        <w:tc>
          <w:tcPr>
            <w:tcW w:w="4710" w:type="dxa"/>
          </w:tcPr>
          <w:p>
            <w:pPr>
              <w:widowControl w:val="0"/>
              <w:rPr>
                <w:rFonts w:ascii="宋体" w:hAnsi="宋体" w:cs="宋体"/>
                <w:b/>
                <w:bCs/>
                <w:szCs w:val="21"/>
              </w:rPr>
            </w:pPr>
            <w:r>
              <w:rPr>
                <w:rFonts w:ascii="宋体" w:hAnsi="宋体" w:hint="eastAsia"/>
                <w:szCs w:val="21"/>
              </w:rPr>
              <w:t>评审内容：</w:t>
            </w:r>
            <w:r>
              <w:rPr>
                <w:rFonts w:ascii="宋体" w:hAnsi="宋体" w:hint="eastAsia"/>
                <w:bCs/>
                <w:iCs/>
                <w:szCs w:val="21"/>
              </w:rPr>
              <w:t>投标人出具承诺函（格式自拟），承诺项目开发实验方案需经采购人确认后实施并对项目结果验收。按要求承诺的得</w:t>
            </w:r>
            <w:r>
              <w:rPr>
                <w:rFonts w:ascii="宋体" w:hAnsi="宋体"/>
                <w:bCs/>
                <w:iCs/>
                <w:szCs w:val="21"/>
              </w:rPr>
              <w:t>100分，其他情况不得分。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5</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违约承诺</w:t>
            </w:r>
          </w:p>
        </w:tc>
        <w:tc>
          <w:tcPr>
            <w:tcW w:w="852" w:type="dxa"/>
            <w:vAlign w:val="center"/>
          </w:tcPr>
          <w:p>
            <w:pPr>
              <w:widowControl w:val="0"/>
              <w:autoSpaceDE w:val="0"/>
              <w:autoSpaceDN w:val="0"/>
              <w:jc w:val="center"/>
              <w:rPr>
                <w:rFonts w:ascii="宋体" w:hAnsi="宋体" w:cs="宋体"/>
                <w:szCs w:val="21"/>
              </w:rPr>
            </w:pPr>
            <w:r>
              <w:rPr>
                <w:rFonts w:ascii="宋体" w:hAnsi="宋体" w:hint="eastAsia"/>
                <w:szCs w:val="21"/>
              </w:rPr>
              <w:t>5</w:t>
            </w:r>
          </w:p>
        </w:tc>
        <w:tc>
          <w:tcPr>
            <w:tcW w:w="4710" w:type="dxa"/>
          </w:tcPr>
          <w:p>
            <w:pPr>
              <w:widowControl w:val="0"/>
              <w:rPr>
                <w:rFonts w:ascii="宋体" w:hAnsi="宋体" w:cs="宋体"/>
                <w:b/>
                <w:bCs/>
                <w:szCs w:val="21"/>
              </w:rPr>
            </w:pPr>
            <w:r>
              <w:rPr>
                <w:rFonts w:ascii="宋体" w:hAnsi="宋体" w:hint="eastAsia"/>
                <w:szCs w:val="21"/>
              </w:rPr>
              <w:t>评审内容：投标人提供承诺函</w:t>
            </w:r>
            <w:r>
              <w:rPr>
                <w:rFonts w:ascii="宋体" w:hAnsi="宋体" w:hint="eastAsia"/>
                <w:bCs/>
                <w:iCs/>
                <w:szCs w:val="21"/>
              </w:rPr>
              <w:t>（格式自拟）</w:t>
            </w:r>
            <w:r>
              <w:rPr>
                <w:rFonts w:ascii="宋体" w:hAnsi="宋体" w:hint="eastAsia"/>
                <w:szCs w:val="21"/>
              </w:rPr>
              <w:t>：承诺在中标后签订合同之日起</w:t>
            </w:r>
            <w:r>
              <w:rPr>
                <w:rFonts w:ascii="宋体" w:hAnsi="宋体"/>
                <w:szCs w:val="21"/>
              </w:rPr>
              <w:t>7</w:t>
            </w:r>
            <w:r>
              <w:rPr>
                <w:rFonts w:ascii="宋体" w:hAnsi="宋体" w:hint="eastAsia"/>
                <w:szCs w:val="21"/>
              </w:rPr>
              <w:t>个工作日内，按合同约定内容开展该项目服务，如未能按时开展，将视为违约，采购方有权立即解除与其签订的采购合同。按要求承诺的得</w:t>
            </w:r>
            <w:r>
              <w:rPr>
                <w:rFonts w:ascii="宋体" w:hAnsi="宋体"/>
                <w:szCs w:val="21"/>
              </w:rPr>
              <w:t>100分，其他情况不得分。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624"/>
          <w:jc w:val="center"/>
        </w:trPr>
        <w:tc>
          <w:tcPr>
            <w:tcW w:w="7821" w:type="dxa"/>
            <w:gridSpan w:val="4"/>
            <w:vAlign w:val="center"/>
          </w:tcPr>
          <w:p>
            <w:pPr>
              <w:widowControl w:val="0"/>
              <w:autoSpaceDE w:val="0"/>
              <w:autoSpaceDN w:val="0"/>
              <w:jc w:val="center"/>
              <w:rPr>
                <w:rFonts w:ascii="宋体" w:hAnsi="宋体"/>
                <w:color w:val="0000FF"/>
                <w:szCs w:val="21"/>
              </w:rPr>
            </w:pPr>
            <w:r>
              <w:rPr>
                <w:rFonts w:ascii="宋体" w:hAnsi="宋体" w:hint="eastAsia"/>
                <w:b/>
                <w:bCs/>
                <w:szCs w:val="21"/>
                <w:lang w:val="zh-CN"/>
              </w:rPr>
              <w:t>三、商务部分</w:t>
            </w:r>
          </w:p>
        </w:tc>
        <w:tc>
          <w:tcPr>
            <w:tcW w:w="1760" w:type="dxa"/>
            <w:vAlign w:val="center"/>
          </w:tcPr>
          <w:p>
            <w:pPr>
              <w:widowControl w:val="0"/>
              <w:autoSpaceDE w:val="0"/>
              <w:autoSpaceDN w:val="0"/>
              <w:jc w:val="center"/>
              <w:rPr>
                <w:rFonts w:ascii="宋体" w:hAnsi="宋体"/>
                <w:szCs w:val="21"/>
              </w:rPr>
            </w:pPr>
            <w:r>
              <w:rPr>
                <w:rFonts w:ascii="宋体" w:hAnsi="宋体"/>
                <w:szCs w:val="21"/>
              </w:rPr>
              <w:t>30</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序号</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lang w:val="zh-CN"/>
              </w:rPr>
              <w:t>内容</w:t>
            </w:r>
          </w:p>
        </w:tc>
        <w:tc>
          <w:tcPr>
            <w:tcW w:w="852" w:type="dxa"/>
            <w:vAlign w:val="center"/>
          </w:tcPr>
          <w:p>
            <w:pPr>
              <w:widowControl w:val="0"/>
              <w:autoSpaceDE w:val="0"/>
              <w:autoSpaceDN w:val="0"/>
              <w:jc w:val="center"/>
              <w:rPr>
                <w:rFonts w:ascii="宋体" w:hAnsi="宋体" w:cs="宋体"/>
                <w:color w:val="FF0000"/>
                <w:szCs w:val="21"/>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c>
          <w:tcPr>
            <w:tcW w:w="4710" w:type="dxa"/>
            <w:vAlign w:val="center"/>
          </w:tcPr>
          <w:p>
            <w:pPr>
              <w:widowControl w:val="0"/>
              <w:autoSpaceDE w:val="0"/>
              <w:autoSpaceDN w:val="0"/>
              <w:jc w:val="center"/>
              <w:rPr>
                <w:rFonts w:ascii="宋体" w:hAnsi="宋体"/>
                <w:color w:val="0000FF"/>
                <w:szCs w:val="21"/>
              </w:rPr>
            </w:pPr>
            <w:r>
              <w:rPr>
                <w:rFonts w:ascii="宋体" w:hAnsi="宋体" w:hint="eastAsia"/>
                <w:szCs w:val="21"/>
                <w:lang w:val="zh-CN"/>
              </w:rPr>
              <w:t>评分规则</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tc>
      </w:tr>
      <w:tr>
        <w:tblPrEx>
          <w:tblW w:w="9581" w:type="dxa"/>
          <w:jc w:val="center"/>
          <w:tblLayout w:type="fixed"/>
          <w:tblCellMar>
            <w:top w:w="0" w:type="dxa"/>
            <w:left w:w="108" w:type="dxa"/>
            <w:bottom w:w="0" w:type="dxa"/>
            <w:right w:w="108" w:type="dxa"/>
          </w:tblCellMar>
        </w:tblPrEx>
        <w:trPr>
          <w:trHeight w:val="612"/>
          <w:jc w:val="center"/>
        </w:trPr>
        <w:tc>
          <w:tcPr>
            <w:tcW w:w="687"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1</w:t>
            </w:r>
          </w:p>
        </w:tc>
        <w:tc>
          <w:tcPr>
            <w:tcW w:w="1572" w:type="dxa"/>
            <w:vAlign w:val="center"/>
          </w:tcPr>
          <w:p>
            <w:pPr>
              <w:widowControl w:val="0"/>
              <w:autoSpaceDE w:val="0"/>
              <w:autoSpaceDN w:val="0"/>
              <w:adjustRightInd w:val="0"/>
              <w:jc w:val="center"/>
              <w:rPr>
                <w:rFonts w:ascii="宋体" w:hAnsi="宋体" w:cs="宋体"/>
                <w:szCs w:val="21"/>
              </w:rPr>
            </w:pPr>
            <w:r>
              <w:rPr>
                <w:rFonts w:ascii="宋体" w:hAnsi="宋体" w:hint="eastAsia"/>
                <w:szCs w:val="21"/>
              </w:rPr>
              <w:t>投标人通过相关认证情况</w:t>
            </w:r>
          </w:p>
        </w:tc>
        <w:tc>
          <w:tcPr>
            <w:tcW w:w="852" w:type="dxa"/>
            <w:vAlign w:val="center"/>
          </w:tcPr>
          <w:p>
            <w:pPr>
              <w:widowControl w:val="0"/>
              <w:autoSpaceDE w:val="0"/>
              <w:autoSpaceDN w:val="0"/>
              <w:jc w:val="center"/>
              <w:rPr>
                <w:rFonts w:ascii="宋体" w:hAnsi="宋体" w:cs="宋体"/>
                <w:color w:val="FF0000"/>
                <w:szCs w:val="21"/>
              </w:rPr>
            </w:pPr>
            <w:r>
              <w:rPr>
                <w:rFonts w:ascii="宋体" w:hAnsi="宋体"/>
                <w:szCs w:val="21"/>
              </w:rPr>
              <w:t>6</w:t>
            </w:r>
          </w:p>
        </w:tc>
        <w:tc>
          <w:tcPr>
            <w:tcW w:w="4710" w:type="dxa"/>
          </w:tcPr>
          <w:p>
            <w:pPr>
              <w:widowControl w:val="0"/>
              <w:rPr>
                <w:rFonts w:ascii="宋体" w:hAnsi="宋体"/>
                <w:szCs w:val="21"/>
              </w:rPr>
            </w:pPr>
            <w:r>
              <w:rPr>
                <w:rFonts w:ascii="宋体" w:hAnsi="宋体" w:hint="eastAsia"/>
                <w:szCs w:val="21"/>
              </w:rPr>
              <w:t>（一）评分内容：</w:t>
            </w:r>
          </w:p>
          <w:p>
            <w:pPr>
              <w:widowControl w:val="0"/>
              <w:rPr>
                <w:rFonts w:ascii="宋体" w:hAnsi="宋体"/>
                <w:szCs w:val="21"/>
              </w:rPr>
            </w:pPr>
            <w:r>
              <w:rPr>
                <w:rFonts w:ascii="宋体" w:hAnsi="宋体"/>
                <w:szCs w:val="21"/>
              </w:rPr>
              <w:t>1.</w:t>
            </w:r>
            <w:r>
              <w:rPr>
                <w:rFonts w:ascii="宋体" w:hAnsi="宋体"/>
                <w:szCs w:val="21"/>
                <w:u w:val="single"/>
              </w:rPr>
              <w:t>GLP</w:t>
            </w:r>
            <w:r>
              <w:rPr>
                <w:rFonts w:ascii="宋体" w:hAnsi="宋体" w:hint="eastAsia"/>
                <w:szCs w:val="21"/>
                <w:u w:val="single"/>
              </w:rPr>
              <w:t>认证</w:t>
            </w:r>
            <w:r>
              <w:rPr>
                <w:rFonts w:ascii="宋体" w:hAnsi="宋体" w:hint="eastAsia"/>
                <w:szCs w:val="21"/>
              </w:rPr>
              <w:t>；</w:t>
            </w:r>
          </w:p>
          <w:p>
            <w:pPr>
              <w:widowControl w:val="0"/>
              <w:rPr>
                <w:rFonts w:ascii="宋体" w:hAnsi="宋体"/>
                <w:szCs w:val="21"/>
                <w:highlight w:val="cyan"/>
              </w:rPr>
            </w:pPr>
            <w:r>
              <w:rPr>
                <w:rFonts w:ascii="宋体" w:hAnsi="宋体"/>
                <w:szCs w:val="21"/>
              </w:rPr>
              <w:t>2.</w:t>
            </w:r>
            <w:r>
              <w:rPr>
                <w:rFonts w:ascii="宋体" w:hAnsi="宋体" w:hint="eastAsia"/>
                <w:szCs w:val="21"/>
                <w:u w:val="single"/>
              </w:rPr>
              <w:t>动物</w:t>
            </w:r>
            <w:r>
              <w:rPr>
                <w:rFonts w:ascii="宋体" w:hAnsi="宋体"/>
                <w:szCs w:val="21"/>
                <w:u w:val="single"/>
              </w:rPr>
              <w:t>AAALAC认证</w:t>
            </w:r>
            <w:r>
              <w:rPr>
                <w:rFonts w:ascii="宋体" w:hAnsi="宋体" w:hint="eastAsia"/>
                <w:szCs w:val="21"/>
              </w:rPr>
              <w:t>；</w:t>
            </w:r>
          </w:p>
          <w:p>
            <w:pPr>
              <w:widowControl w:val="0"/>
              <w:rPr>
                <w:rFonts w:ascii="宋体" w:hAnsi="宋体"/>
                <w:szCs w:val="21"/>
              </w:rPr>
            </w:pPr>
            <w:r>
              <w:rPr>
                <w:rFonts w:ascii="宋体" w:hAnsi="宋体" w:hint="eastAsia"/>
                <w:szCs w:val="21"/>
              </w:rPr>
              <w:t>（二）评分依据：</w:t>
            </w:r>
          </w:p>
          <w:p>
            <w:pPr>
              <w:widowControl w:val="0"/>
              <w:rPr>
                <w:rFonts w:ascii="宋体" w:hAnsi="宋体"/>
                <w:szCs w:val="21"/>
              </w:rPr>
            </w:pPr>
            <w:r>
              <w:rPr>
                <w:rFonts w:ascii="宋体" w:hAnsi="宋体" w:hint="eastAsia"/>
                <w:szCs w:val="21"/>
              </w:rPr>
              <w:t>1.要求提供在有效期内的认证证书扫描件作为得分依据。</w:t>
            </w:r>
          </w:p>
          <w:p>
            <w:pPr>
              <w:widowControl w:val="0"/>
              <w:rPr>
                <w:rFonts w:ascii="宋体" w:hAnsi="宋体"/>
                <w:szCs w:val="21"/>
              </w:rPr>
            </w:pPr>
            <w:r>
              <w:rPr>
                <w:rFonts w:ascii="宋体" w:hAnsi="宋体" w:hint="eastAsia"/>
                <w:szCs w:val="21"/>
              </w:rPr>
              <w:t>提供</w:t>
            </w:r>
            <w:r>
              <w:rPr>
                <w:rFonts w:ascii="宋体" w:hAnsi="宋体"/>
                <w:szCs w:val="21"/>
              </w:rPr>
              <w:t>2</w:t>
            </w:r>
            <w:r>
              <w:rPr>
                <w:rFonts w:ascii="宋体" w:hAnsi="宋体" w:hint="eastAsia"/>
                <w:szCs w:val="21"/>
              </w:rPr>
              <w:t>个得1</w:t>
            </w:r>
            <w:r>
              <w:rPr>
                <w:rFonts w:ascii="宋体" w:hAnsi="宋体"/>
                <w:szCs w:val="21"/>
              </w:rPr>
              <w:t>00</w:t>
            </w:r>
            <w:r>
              <w:rPr>
                <w:rFonts w:ascii="宋体" w:hAnsi="宋体" w:hint="eastAsia"/>
                <w:szCs w:val="21"/>
              </w:rPr>
              <w:t>分；提供1个得5</w:t>
            </w:r>
            <w:r>
              <w:rPr>
                <w:rFonts w:ascii="宋体" w:hAnsi="宋体"/>
                <w:szCs w:val="21"/>
              </w:rPr>
              <w:t>0</w:t>
            </w:r>
            <w:r>
              <w:rPr>
                <w:rFonts w:ascii="宋体" w:hAnsi="宋体" w:hint="eastAsia"/>
                <w:szCs w:val="21"/>
              </w:rPr>
              <w:t>分；未提供不得分。</w:t>
            </w:r>
          </w:p>
          <w:p>
            <w:pPr>
              <w:widowControl w:val="0"/>
            </w:pPr>
            <w:r>
              <w:rPr>
                <w:rFonts w:ascii="宋体" w:hAnsi="宋体" w:hint="eastAsia"/>
                <w:szCs w:val="21"/>
              </w:rPr>
              <w:t>2.以上资料均要求提供扫描件，原件备查。</w:t>
            </w:r>
            <w:r>
              <w:rPr>
                <w:rFonts w:ascii="宋体" w:hAnsi="宋体"/>
                <w:szCs w:val="21"/>
              </w:rPr>
              <w:t>评分中出现无证明资料或专家无法凭所提供资料判断是否得分的情况，一律作不得分处理。</w:t>
            </w:r>
          </w:p>
        </w:tc>
        <w:tc>
          <w:tcPr>
            <w:tcW w:w="1760"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rPr>
              <w:t>2</w:t>
            </w:r>
          </w:p>
        </w:tc>
        <w:tc>
          <w:tcPr>
            <w:tcW w:w="1572" w:type="dxa"/>
            <w:vAlign w:val="center"/>
          </w:tcPr>
          <w:p>
            <w:pPr>
              <w:widowControl w:val="0"/>
              <w:jc w:val="center"/>
              <w:rPr>
                <w:rFonts w:ascii="宋体" w:hAnsi="宋体" w:cs="宋体"/>
                <w:szCs w:val="21"/>
              </w:rPr>
            </w:pPr>
            <w:r>
              <w:rPr>
                <w:rFonts w:ascii="宋体" w:hAnsi="宋体" w:hint="eastAsia"/>
                <w:szCs w:val="21"/>
              </w:rPr>
              <w:t>投标人同类项目业绩情况</w:t>
            </w:r>
          </w:p>
        </w:tc>
        <w:tc>
          <w:tcPr>
            <w:tcW w:w="852" w:type="dxa"/>
          </w:tcPr>
          <w:p>
            <w:pPr>
              <w:widowControl w:val="0"/>
              <w:autoSpaceDE w:val="0"/>
              <w:autoSpaceDN w:val="0"/>
              <w:jc w:val="center"/>
              <w:rPr>
                <w:rFonts w:ascii="宋体" w:hAnsi="宋体" w:cs="宋体"/>
                <w:color w:val="FF0000"/>
                <w:szCs w:val="21"/>
              </w:rPr>
            </w:pPr>
            <w:r>
              <w:rPr>
                <w:rFonts w:ascii="宋体" w:hAnsi="宋体"/>
                <w:szCs w:val="21"/>
              </w:rPr>
              <w:t>10</w:t>
            </w:r>
          </w:p>
        </w:tc>
        <w:tc>
          <w:tcPr>
            <w:tcW w:w="4710" w:type="dxa"/>
          </w:tcPr>
          <w:p>
            <w:pPr>
              <w:widowControl w:val="0"/>
              <w:snapToGrid w:val="0"/>
              <w:rPr>
                <w:rFonts w:ascii="宋体" w:hAnsi="宋体"/>
                <w:szCs w:val="21"/>
              </w:rPr>
            </w:pPr>
            <w:r>
              <w:rPr>
                <w:rFonts w:ascii="宋体" w:hAnsi="宋体" w:hint="eastAsia"/>
                <w:szCs w:val="21"/>
              </w:rPr>
              <w:t>（一）评分内容：</w:t>
            </w:r>
          </w:p>
          <w:p>
            <w:pPr>
              <w:widowControl w:val="0"/>
              <w:snapToGrid w:val="0"/>
              <w:ind w:firstLine="240" w:firstLineChars="100"/>
              <w:rPr>
                <w:rFonts w:ascii="宋体" w:hAnsi="宋体"/>
                <w:szCs w:val="21"/>
              </w:rPr>
            </w:pPr>
            <w:r>
              <w:rPr>
                <w:rFonts w:ascii="宋体" w:hAnsi="宋体" w:hint="eastAsia"/>
                <w:szCs w:val="21"/>
              </w:rPr>
              <w:t>投标人自20</w:t>
            </w:r>
            <w:r>
              <w:rPr>
                <w:rFonts w:ascii="宋体" w:hAnsi="宋体"/>
                <w:szCs w:val="21"/>
              </w:rPr>
              <w:t>20</w:t>
            </w:r>
            <w:r>
              <w:rPr>
                <w:rFonts w:ascii="宋体" w:hAnsi="宋体" w:hint="eastAsia"/>
                <w:szCs w:val="21"/>
              </w:rPr>
              <w:t>年1月1日至本项目投标截止之日，承担过药学A</w:t>
            </w:r>
            <w:r>
              <w:rPr>
                <w:rFonts w:ascii="宋体" w:hAnsi="宋体"/>
                <w:szCs w:val="21"/>
              </w:rPr>
              <w:t>PI</w:t>
            </w:r>
            <w:r>
              <w:rPr>
                <w:rFonts w:ascii="宋体" w:hAnsi="宋体" w:hint="eastAsia"/>
                <w:szCs w:val="21"/>
              </w:rPr>
              <w:t>、制剂、安全评价、I</w:t>
            </w:r>
            <w:r>
              <w:rPr>
                <w:rFonts w:ascii="宋体" w:hAnsi="宋体"/>
                <w:szCs w:val="21"/>
              </w:rPr>
              <w:t>ND</w:t>
            </w:r>
            <w:r>
              <w:rPr>
                <w:rFonts w:ascii="宋体" w:hAnsi="宋体" w:hint="eastAsia"/>
                <w:szCs w:val="21"/>
              </w:rPr>
              <w:t>申报等同类项目案例进行评分。</w:t>
            </w:r>
          </w:p>
          <w:p>
            <w:pPr>
              <w:widowControl w:val="0"/>
              <w:snapToGrid w:val="0"/>
              <w:rPr>
                <w:rFonts w:ascii="宋体" w:hAnsi="宋体"/>
                <w:szCs w:val="21"/>
              </w:rPr>
            </w:pPr>
            <w:r>
              <w:rPr>
                <w:rFonts w:ascii="宋体" w:hAnsi="宋体" w:hint="eastAsia"/>
                <w:szCs w:val="21"/>
              </w:rPr>
              <w:t>（二）评分依据：</w:t>
            </w:r>
          </w:p>
          <w:p>
            <w:pPr>
              <w:widowControl w:val="0"/>
              <w:snapToGrid w:val="0"/>
              <w:rPr>
                <w:rFonts w:ascii="宋体" w:hAnsi="宋体"/>
                <w:szCs w:val="21"/>
              </w:rPr>
            </w:pPr>
            <w:r>
              <w:rPr>
                <w:rFonts w:ascii="宋体" w:hAnsi="宋体" w:hint="eastAsia"/>
                <w:szCs w:val="21"/>
              </w:rPr>
              <w:t>1.投标人提供同类项目案例情况及数量说明（格式自拟）并出具真实性承诺函（加盖投标人公章）。每列明一个案例得10分，最高100分。</w:t>
            </w:r>
          </w:p>
          <w:p>
            <w:pPr>
              <w:widowControl w:val="0"/>
              <w:snapToGrid w:val="0"/>
              <w:rPr>
                <w:rFonts w:ascii="宋体" w:hAnsi="宋体"/>
                <w:szCs w:val="21"/>
              </w:rPr>
            </w:pPr>
            <w:r>
              <w:rPr>
                <w:rFonts w:ascii="宋体" w:hAnsi="宋体" w:hint="eastAsia"/>
                <w:szCs w:val="21"/>
              </w:rPr>
              <w:t>2.未提供承诺函或所提供的承诺函不清晰或专家无法判断是否得分的情况，一律做不得分处理。</w:t>
            </w:r>
          </w:p>
          <w:p>
            <w:pPr>
              <w:widowControl w:val="0"/>
              <w:snapToGrid w:val="0"/>
              <w:rPr>
                <w:rFonts w:ascii="宋体" w:hAnsi="宋体"/>
                <w:color w:val="0000FF"/>
                <w:szCs w:val="21"/>
              </w:rPr>
            </w:pPr>
            <w:r>
              <w:rPr>
                <w:rFonts w:ascii="宋体" w:hAnsi="宋体" w:hint="eastAsia"/>
                <w:szCs w:val="21"/>
              </w:rPr>
              <w:t>3.若提供虚假材料应标将导致投标无效并报主管部门处理。</w:t>
            </w:r>
          </w:p>
        </w:tc>
        <w:tc>
          <w:tcPr>
            <w:tcW w:w="1760"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rPr>
              <w:t>3</w:t>
            </w:r>
          </w:p>
        </w:tc>
        <w:tc>
          <w:tcPr>
            <w:tcW w:w="1572" w:type="dxa"/>
            <w:vAlign w:val="center"/>
          </w:tcPr>
          <w:p>
            <w:pPr>
              <w:widowControl w:val="0"/>
              <w:jc w:val="center"/>
              <w:rPr>
                <w:rFonts w:ascii="宋体" w:hAnsi="宋体" w:cs="宋体"/>
                <w:szCs w:val="21"/>
              </w:rPr>
            </w:pPr>
            <w:r>
              <w:rPr>
                <w:rFonts w:ascii="宋体" w:hAnsi="宋体" w:hint="eastAsia"/>
                <w:szCs w:val="21"/>
              </w:rPr>
              <w:t>投标人获奖情况</w:t>
            </w:r>
          </w:p>
        </w:tc>
        <w:tc>
          <w:tcPr>
            <w:tcW w:w="852" w:type="dxa"/>
          </w:tcPr>
          <w:p>
            <w:pPr>
              <w:widowControl w:val="0"/>
              <w:autoSpaceDE w:val="0"/>
              <w:autoSpaceDN w:val="0"/>
              <w:jc w:val="center"/>
              <w:rPr>
                <w:rFonts w:ascii="宋体" w:hAnsi="宋体"/>
                <w:szCs w:val="21"/>
              </w:rPr>
            </w:pPr>
          </w:p>
          <w:p>
            <w:pPr>
              <w:widowControl w:val="0"/>
              <w:autoSpaceDE w:val="0"/>
              <w:autoSpaceDN w:val="0"/>
              <w:jc w:val="center"/>
              <w:rPr>
                <w:rFonts w:ascii="宋体" w:hAnsi="宋体"/>
                <w:szCs w:val="21"/>
              </w:rPr>
            </w:pPr>
          </w:p>
          <w:p>
            <w:pPr>
              <w:widowControl w:val="0"/>
              <w:autoSpaceDE w:val="0"/>
              <w:autoSpaceDN w:val="0"/>
              <w:jc w:val="center"/>
              <w:rPr>
                <w:rFonts w:ascii="宋体" w:hAnsi="宋体"/>
                <w:szCs w:val="21"/>
              </w:rPr>
            </w:pPr>
          </w:p>
          <w:p>
            <w:pPr>
              <w:widowControl w:val="0"/>
              <w:autoSpaceDE w:val="0"/>
              <w:autoSpaceDN w:val="0"/>
              <w:jc w:val="center"/>
              <w:rPr>
                <w:rFonts w:ascii="宋体" w:hAnsi="宋体"/>
                <w:szCs w:val="21"/>
              </w:rPr>
            </w:pPr>
          </w:p>
          <w:p>
            <w:pPr>
              <w:widowControl w:val="0"/>
              <w:autoSpaceDE w:val="0"/>
              <w:autoSpaceDN w:val="0"/>
              <w:jc w:val="center"/>
              <w:rPr>
                <w:rFonts w:ascii="宋体" w:hAnsi="宋体" w:cs="宋体"/>
                <w:color w:val="FF0000"/>
                <w:szCs w:val="21"/>
              </w:rPr>
            </w:pPr>
            <w:r>
              <w:rPr>
                <w:rFonts w:ascii="宋体" w:hAnsi="宋体"/>
                <w:szCs w:val="21"/>
              </w:rPr>
              <w:t>4</w:t>
            </w:r>
          </w:p>
        </w:tc>
        <w:tc>
          <w:tcPr>
            <w:tcW w:w="4710" w:type="dxa"/>
          </w:tcPr>
          <w:p>
            <w:pPr>
              <w:pStyle w:val="ListParagraph"/>
              <w:widowControl w:val="0"/>
              <w:numPr>
                <w:ilvl w:val="0"/>
                <w:numId w:val="3"/>
              </w:numPr>
              <w:ind w:firstLineChars="0"/>
              <w:rPr>
                <w:rFonts w:ascii="宋体" w:hAnsi="宋体"/>
                <w:szCs w:val="21"/>
              </w:rPr>
            </w:pPr>
            <w:r>
              <w:rPr>
                <w:rFonts w:ascii="宋体" w:hAnsi="宋体" w:hint="eastAsia"/>
                <w:szCs w:val="21"/>
              </w:rPr>
              <w:t>评分内容：</w:t>
            </w:r>
          </w:p>
          <w:p>
            <w:pPr>
              <w:widowControl w:val="0"/>
              <w:rPr>
                <w:rFonts w:ascii="宋体" w:hAnsi="宋体"/>
                <w:szCs w:val="21"/>
              </w:rPr>
            </w:pPr>
            <w:r>
              <w:rPr>
                <w:rFonts w:ascii="宋体" w:hAnsi="宋体" w:hint="eastAsia"/>
                <w:szCs w:val="21"/>
              </w:rPr>
              <w:t>投标人自20</w:t>
            </w:r>
            <w:r>
              <w:rPr>
                <w:rFonts w:ascii="宋体" w:hAnsi="宋体"/>
                <w:szCs w:val="21"/>
              </w:rPr>
              <w:t>19</w:t>
            </w:r>
            <w:r>
              <w:rPr>
                <w:rFonts w:ascii="宋体" w:hAnsi="宋体" w:hint="eastAsia"/>
                <w:szCs w:val="21"/>
              </w:rPr>
              <w:t>年1月1日至本项目投标截止之日），以获奖时间为准：获得国家级或者省市级、行业内等相关奖项。</w:t>
            </w:r>
          </w:p>
          <w:p>
            <w:pPr>
              <w:widowControl w:val="0"/>
              <w:rPr>
                <w:rFonts w:ascii="宋体" w:hAnsi="宋体"/>
                <w:szCs w:val="21"/>
              </w:rPr>
            </w:pPr>
            <w:r>
              <w:rPr>
                <w:rFonts w:ascii="宋体" w:hAnsi="宋体" w:hint="eastAsia"/>
                <w:szCs w:val="21"/>
              </w:rPr>
              <w:t>（1）获得国家级奖项得</w:t>
            </w:r>
            <w:r>
              <w:rPr>
                <w:rFonts w:ascii="宋体" w:hAnsi="宋体"/>
                <w:szCs w:val="21"/>
              </w:rPr>
              <w:t>10</w:t>
            </w:r>
            <w:r>
              <w:rPr>
                <w:rFonts w:ascii="宋体" w:hAnsi="宋体" w:hint="eastAsia"/>
                <w:szCs w:val="21"/>
              </w:rPr>
              <w:t>0分；</w:t>
            </w:r>
          </w:p>
          <w:p>
            <w:pPr>
              <w:widowControl w:val="0"/>
              <w:rPr>
                <w:rFonts w:ascii="宋体" w:hAnsi="宋体"/>
                <w:szCs w:val="21"/>
              </w:rPr>
            </w:pPr>
            <w:r>
              <w:rPr>
                <w:rFonts w:ascii="宋体" w:hAnsi="宋体" w:hint="eastAsia"/>
                <w:szCs w:val="21"/>
              </w:rPr>
              <w:t>（2）获得省级奖项得</w:t>
            </w:r>
            <w:r>
              <w:rPr>
                <w:rFonts w:ascii="宋体" w:hAnsi="宋体"/>
                <w:szCs w:val="21"/>
              </w:rPr>
              <w:t>8</w:t>
            </w:r>
            <w:r>
              <w:rPr>
                <w:rFonts w:ascii="宋体" w:hAnsi="宋体" w:hint="eastAsia"/>
                <w:szCs w:val="21"/>
              </w:rPr>
              <w:t>0分；</w:t>
            </w:r>
          </w:p>
          <w:p>
            <w:pPr>
              <w:widowControl w:val="0"/>
              <w:rPr>
                <w:rFonts w:ascii="宋体" w:hAnsi="宋体"/>
                <w:szCs w:val="21"/>
              </w:rPr>
            </w:pPr>
            <w:r>
              <w:rPr>
                <w:rFonts w:ascii="宋体" w:hAnsi="宋体" w:hint="eastAsia"/>
                <w:szCs w:val="21"/>
              </w:rPr>
              <w:t>（3）获得市级或者行业内相关奖项得</w:t>
            </w:r>
            <w:r>
              <w:rPr>
                <w:rFonts w:ascii="宋体" w:hAnsi="宋体"/>
                <w:szCs w:val="21"/>
              </w:rPr>
              <w:t>5</w:t>
            </w:r>
            <w:r>
              <w:rPr>
                <w:rFonts w:ascii="宋体" w:hAnsi="宋体" w:hint="eastAsia"/>
                <w:szCs w:val="21"/>
              </w:rPr>
              <w:t>0分。</w:t>
            </w:r>
          </w:p>
          <w:p>
            <w:pPr>
              <w:widowControl w:val="0"/>
              <w:rPr>
                <w:rFonts w:ascii="宋体" w:hAnsi="宋体"/>
                <w:szCs w:val="21"/>
              </w:rPr>
            </w:pPr>
            <w:r>
              <w:rPr>
                <w:rFonts w:ascii="宋体" w:hAnsi="宋体" w:hint="eastAsia"/>
                <w:szCs w:val="21"/>
              </w:rPr>
              <w:t>其余不得分。</w:t>
            </w:r>
          </w:p>
          <w:p>
            <w:pPr>
              <w:widowControl w:val="0"/>
              <w:rPr>
                <w:rFonts w:ascii="宋体" w:hAnsi="宋体"/>
                <w:szCs w:val="21"/>
              </w:rPr>
            </w:pPr>
            <w:r>
              <w:rPr>
                <w:rFonts w:ascii="宋体" w:hAnsi="宋体" w:hint="eastAsia"/>
                <w:szCs w:val="21"/>
              </w:rPr>
              <w:t>（本小项不累计加分，只考察最优奖项且只计算一次）</w:t>
            </w:r>
          </w:p>
          <w:p>
            <w:pPr>
              <w:widowControl w:val="0"/>
              <w:rPr>
                <w:rFonts w:ascii="宋体" w:hAnsi="宋体"/>
                <w:szCs w:val="21"/>
              </w:rPr>
            </w:pPr>
            <w:r>
              <w:rPr>
                <w:rFonts w:ascii="宋体" w:hAnsi="宋体" w:hint="eastAsia"/>
                <w:szCs w:val="21"/>
              </w:rPr>
              <w:t>（二）评分依据：</w:t>
            </w:r>
          </w:p>
          <w:p>
            <w:pPr>
              <w:widowControl w:val="0"/>
              <w:rPr>
                <w:rFonts w:ascii="宋体" w:hAnsi="宋体"/>
                <w:szCs w:val="21"/>
              </w:rPr>
            </w:pPr>
            <w:r>
              <w:rPr>
                <w:rFonts w:ascii="宋体" w:hAnsi="宋体"/>
                <w:szCs w:val="21"/>
              </w:rPr>
              <w:t>1</w:t>
            </w:r>
            <w:r>
              <w:rPr>
                <w:rFonts w:ascii="宋体" w:hAnsi="宋体" w:hint="eastAsia"/>
                <w:szCs w:val="21"/>
              </w:rPr>
              <w:t>.以上资料均要求提供扫描件，原件备查。评分中出现无证明资料或专家无法凭所提供资料判断是否得分的情况，一律作不得分处理。</w:t>
            </w:r>
          </w:p>
          <w:p>
            <w:pPr>
              <w:widowControl w:val="0"/>
              <w:rPr>
                <w:rFonts w:ascii="宋体" w:hAnsi="宋体"/>
                <w:szCs w:val="21"/>
              </w:rPr>
            </w:pPr>
            <w:r>
              <w:rPr>
                <w:rFonts w:ascii="宋体" w:hAnsi="宋体"/>
                <w:szCs w:val="21"/>
              </w:rPr>
              <w:t>2</w:t>
            </w:r>
            <w:r>
              <w:rPr>
                <w:rFonts w:ascii="宋体" w:hAnsi="宋体" w:hint="eastAsia"/>
                <w:szCs w:val="21"/>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p>
            <w:pPr>
              <w:widowControl w:val="0"/>
              <w:rPr>
                <w:rFonts w:ascii="宋体" w:hAnsi="宋体"/>
                <w:color w:val="0000FF"/>
                <w:szCs w:val="21"/>
              </w:rPr>
            </w:pPr>
            <w:r>
              <w:rPr>
                <w:rFonts w:ascii="宋体" w:hAnsi="宋体"/>
                <w:szCs w:val="21"/>
              </w:rPr>
              <w:t>3</w:t>
            </w:r>
            <w:r>
              <w:rPr>
                <w:rFonts w:ascii="宋体" w:hAnsi="宋体" w:hint="eastAsia"/>
                <w:szCs w:val="21"/>
              </w:rPr>
              <w:t>.由行业协会颁发的，需提供该行业协会“中国社会组织公共服务平台”</w:t>
            </w:r>
            <w:r>
              <w:rPr>
                <w:rFonts w:ascii="宋体" w:hAnsi="宋体" w:hint="eastAsia"/>
                <w:szCs w:val="21"/>
                <w:u w:val="single"/>
              </w:rPr>
              <w:t>http://www.chinanpo.gov.cn/search/orgindex.html</w:t>
            </w:r>
            <w:r>
              <w:rPr>
                <w:rFonts w:ascii="宋体" w:hAnsi="宋体" w:hint="eastAsia"/>
                <w:szCs w:val="21"/>
              </w:rPr>
              <w:t>的已合法登记且状态正常截图，否则不予认可，视为无效证书，颁发机构为“离岸社团”“山寨社团”的不得分。</w:t>
            </w:r>
          </w:p>
        </w:tc>
        <w:tc>
          <w:tcPr>
            <w:tcW w:w="1760"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专家打分</w:t>
            </w:r>
          </w:p>
        </w:tc>
      </w:tr>
      <w:tr>
        <w:tblPrEx>
          <w:tblW w:w="9581" w:type="dxa"/>
          <w:jc w:val="center"/>
          <w:tblLayout w:type="fixed"/>
          <w:tblCellMar>
            <w:top w:w="0" w:type="dxa"/>
            <w:left w:w="108" w:type="dxa"/>
            <w:bottom w:w="0" w:type="dxa"/>
            <w:right w:w="108" w:type="dxa"/>
          </w:tblCellMar>
        </w:tblPrEx>
        <w:trPr>
          <w:trHeight w:val="1149"/>
          <w:jc w:val="center"/>
        </w:trPr>
        <w:tc>
          <w:tcPr>
            <w:tcW w:w="687" w:type="dxa"/>
            <w:vAlign w:val="center"/>
          </w:tcPr>
          <w:p>
            <w:pPr>
              <w:widowControl w:val="0"/>
              <w:autoSpaceDE w:val="0"/>
              <w:autoSpaceDN w:val="0"/>
              <w:adjustRightInd w:val="0"/>
              <w:jc w:val="center"/>
              <w:rPr>
                <w:rFonts w:ascii="宋体" w:hAnsi="宋体"/>
                <w:color w:val="000000"/>
                <w:szCs w:val="21"/>
              </w:rPr>
            </w:pPr>
            <w:r>
              <w:rPr>
                <w:rFonts w:ascii="宋体" w:hAnsi="宋体" w:hint="eastAsia"/>
                <w:color w:val="000000"/>
                <w:szCs w:val="21"/>
              </w:rPr>
              <w:t>4</w:t>
            </w:r>
          </w:p>
        </w:tc>
        <w:tc>
          <w:tcPr>
            <w:tcW w:w="1572" w:type="dxa"/>
            <w:vAlign w:val="center"/>
          </w:tcPr>
          <w:p>
            <w:pPr>
              <w:widowControl w:val="0"/>
              <w:autoSpaceDE w:val="0"/>
              <w:autoSpaceDN w:val="0"/>
              <w:jc w:val="center"/>
              <w:rPr>
                <w:rFonts w:ascii="宋体" w:hAnsi="宋体"/>
                <w:color w:val="000000"/>
                <w:szCs w:val="21"/>
              </w:rPr>
            </w:pPr>
            <w:r>
              <w:rPr>
                <w:rFonts w:ascii="宋体" w:hAnsi="宋体" w:hint="eastAsia"/>
                <w:szCs w:val="21"/>
              </w:rPr>
              <w:t>拟安排的项目负责人情况（仅限一人）</w:t>
            </w:r>
          </w:p>
        </w:tc>
        <w:tc>
          <w:tcPr>
            <w:tcW w:w="852" w:type="dxa"/>
          </w:tcPr>
          <w:p>
            <w:pPr>
              <w:widowControl w:val="0"/>
              <w:autoSpaceDE w:val="0"/>
              <w:autoSpaceDN w:val="0"/>
              <w:jc w:val="center"/>
              <w:rPr>
                <w:rFonts w:ascii="宋体" w:hAnsi="宋体"/>
                <w:color w:val="000000"/>
                <w:szCs w:val="21"/>
              </w:rPr>
            </w:pPr>
            <w:r>
              <w:rPr>
                <w:rFonts w:ascii="宋体" w:hAnsi="宋体"/>
                <w:szCs w:val="21"/>
              </w:rPr>
              <w:t>5</w:t>
            </w:r>
          </w:p>
        </w:tc>
        <w:tc>
          <w:tcPr>
            <w:tcW w:w="4710" w:type="dxa"/>
          </w:tcPr>
          <w:p>
            <w:pPr>
              <w:pStyle w:val="ListParagraph"/>
              <w:widowControl w:val="0"/>
              <w:numPr>
                <w:ilvl w:val="0"/>
                <w:numId w:val="0"/>
              </w:numPr>
              <w:ind w:left="0" w:firstLine="0" w:firstLineChars="0"/>
              <w:rPr>
                <w:rFonts w:ascii="宋体" w:hAnsi="宋体"/>
                <w:szCs w:val="21"/>
              </w:rPr>
            </w:pPr>
            <w:r>
              <w:rPr>
                <w:rFonts w:ascii="宋体" w:eastAsia="宋体" w:hAnsi="宋体" w:cs="宋体" w:hint="eastAsia"/>
                <w:szCs w:val="21"/>
              </w:rPr>
              <w:t>（一）</w:t>
            </w:r>
            <w:r>
              <w:rPr>
                <w:rFonts w:ascii="宋体" w:hAnsi="宋体" w:hint="eastAsia"/>
                <w:szCs w:val="21"/>
              </w:rPr>
              <w:t>评分内容：</w:t>
            </w:r>
          </w:p>
          <w:p>
            <w:pPr>
              <w:widowControl w:val="0"/>
              <w:rPr>
                <w:rFonts w:ascii="宋体" w:hAnsi="宋体"/>
                <w:szCs w:val="21"/>
              </w:rPr>
            </w:pPr>
            <w:r>
              <w:rPr>
                <w:rFonts w:ascii="宋体" w:hAnsi="宋体"/>
                <w:szCs w:val="21"/>
              </w:rPr>
              <w:t>1.</w:t>
            </w:r>
            <w:r>
              <w:rPr>
                <w:rFonts w:ascii="宋体" w:hAnsi="宋体" w:hint="eastAsia"/>
                <w:szCs w:val="21"/>
              </w:rPr>
              <w:t>具有全日制研究生（或以上）学历(</w:t>
            </w:r>
            <w:r>
              <w:rPr>
                <w:rFonts w:ascii="宋体" w:hAnsi="宋体"/>
                <w:szCs w:val="21"/>
              </w:rPr>
              <w:t>30</w:t>
            </w:r>
            <w:r>
              <w:rPr>
                <w:rFonts w:ascii="宋体" w:hAnsi="宋体" w:hint="eastAsia"/>
                <w:szCs w:val="21"/>
              </w:rPr>
              <w:t>分</w:t>
            </w:r>
            <w:r>
              <w:rPr>
                <w:rFonts w:ascii="宋体" w:hAnsi="宋体"/>
                <w:szCs w:val="21"/>
              </w:rPr>
              <w:t>)</w:t>
            </w:r>
            <w:r>
              <w:rPr>
                <w:rFonts w:ascii="宋体" w:hAnsi="宋体" w:hint="eastAsia"/>
                <w:szCs w:val="21"/>
              </w:rPr>
              <w:t>；</w:t>
            </w:r>
          </w:p>
          <w:p>
            <w:pPr>
              <w:widowControl w:val="0"/>
              <w:rPr>
                <w:rFonts w:ascii="宋体" w:hAnsi="宋体"/>
                <w:szCs w:val="21"/>
              </w:rPr>
            </w:pPr>
            <w:r>
              <w:rPr>
                <w:rFonts w:ascii="宋体" w:hAnsi="宋体"/>
                <w:szCs w:val="21"/>
              </w:rPr>
              <w:t>2.</w:t>
            </w:r>
            <w:r>
              <w:rPr>
                <w:rFonts w:ascii="宋体" w:hAnsi="宋体" w:hint="eastAsia"/>
                <w:szCs w:val="21"/>
              </w:rPr>
              <w:t>具有新药相关研发工作经历(</w:t>
            </w:r>
            <w:r>
              <w:rPr>
                <w:rFonts w:ascii="宋体" w:hAnsi="宋体"/>
                <w:szCs w:val="21"/>
              </w:rPr>
              <w:t>30</w:t>
            </w:r>
            <w:r>
              <w:rPr>
                <w:rFonts w:ascii="宋体" w:hAnsi="宋体" w:hint="eastAsia"/>
                <w:szCs w:val="21"/>
              </w:rPr>
              <w:t>分</w:t>
            </w:r>
            <w:r>
              <w:rPr>
                <w:rFonts w:ascii="宋体" w:hAnsi="宋体"/>
                <w:szCs w:val="21"/>
              </w:rPr>
              <w:t>)</w:t>
            </w:r>
            <w:r>
              <w:rPr>
                <w:rFonts w:ascii="宋体" w:hAnsi="宋体" w:hint="eastAsia"/>
                <w:szCs w:val="21"/>
              </w:rPr>
              <w:t>；</w:t>
            </w:r>
          </w:p>
          <w:p>
            <w:pPr>
              <w:widowControl w:val="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以项目负责人（或项目经理）的身份承担过IND申报项目(</w:t>
            </w:r>
            <w:r>
              <w:rPr>
                <w:rFonts w:ascii="宋体" w:hAnsi="宋体"/>
                <w:szCs w:val="21"/>
              </w:rPr>
              <w:t>30</w:t>
            </w:r>
            <w:r>
              <w:rPr>
                <w:rFonts w:ascii="宋体" w:hAnsi="宋体" w:hint="eastAsia"/>
                <w:szCs w:val="21"/>
              </w:rPr>
              <w:t>分</w:t>
            </w:r>
            <w:r>
              <w:rPr>
                <w:rFonts w:ascii="宋体" w:hAnsi="宋体"/>
                <w:szCs w:val="21"/>
              </w:rPr>
              <w:t>)</w:t>
            </w:r>
            <w:r>
              <w:rPr>
                <w:rFonts w:ascii="宋体" w:hAnsi="宋体" w:hint="eastAsia"/>
                <w:szCs w:val="21"/>
              </w:rPr>
              <w:t>；</w:t>
            </w:r>
          </w:p>
          <w:p>
            <w:pPr>
              <w:widowControl w:val="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具有人社部门或经人社部门备案的企事业单位颁发的高级职称（药物或化学相关专业）或相关资格证书得</w:t>
            </w:r>
            <w:r>
              <w:rPr>
                <w:rFonts w:ascii="宋体" w:hAnsi="宋体"/>
                <w:szCs w:val="21"/>
              </w:rPr>
              <w:t>10</w:t>
            </w:r>
            <w:r>
              <w:rPr>
                <w:rFonts w:ascii="宋体" w:hAnsi="宋体" w:hint="eastAsia"/>
                <w:szCs w:val="21"/>
              </w:rPr>
              <w:t>分。</w:t>
            </w:r>
          </w:p>
          <w:p>
            <w:pPr>
              <w:widowControl w:val="0"/>
              <w:rPr>
                <w:rFonts w:ascii="宋体" w:hAnsi="宋体"/>
                <w:szCs w:val="21"/>
              </w:rPr>
            </w:pPr>
            <w:r>
              <w:rPr>
                <w:rFonts w:ascii="宋体" w:hAnsi="宋体" w:hint="eastAsia"/>
                <w:szCs w:val="21"/>
              </w:rPr>
              <w:t>以上四项累计得分，合计最高得100分。</w:t>
            </w:r>
          </w:p>
          <w:p>
            <w:pPr>
              <w:widowControl w:val="0"/>
            </w:pPr>
            <w:r>
              <w:rPr>
                <w:rFonts w:ascii="宋体" w:hAnsi="宋体" w:hint="eastAsia"/>
                <w:szCs w:val="21"/>
              </w:rPr>
              <w:t>（二）评分依据：</w:t>
            </w:r>
            <w:r>
              <w:t xml:space="preserve"> </w:t>
            </w:r>
          </w:p>
          <w:p>
            <w:pPr>
              <w:widowControl w:val="0"/>
            </w:pPr>
            <w:r>
              <w:rPr>
                <w:rFonts w:hint="eastAsia"/>
              </w:rPr>
              <w:t>1.要求提供通过投标人缴纳的近3个月（由于社保部门原因最近一个月的社保证明无法提供的可往前顺延一个月）的社保证明作为本单位员工的证明依据；</w:t>
            </w:r>
          </w:p>
          <w:p>
            <w:pPr>
              <w:widowControl w:val="0"/>
            </w:pPr>
            <w:r>
              <w:rPr>
                <w:rFonts w:hint="eastAsia"/>
              </w:rPr>
              <w:t>2.以上评分内容中1项提供学历证明扫描件；2、3项提供由投标单位加盖公章的工作证明；4项提供职称证书扫描件（原件备查）。</w:t>
            </w:r>
          </w:p>
          <w:p>
            <w:pPr>
              <w:widowControl w:val="0"/>
              <w:autoSpaceDE w:val="0"/>
              <w:autoSpaceDN w:val="0"/>
              <w:rPr>
                <w:rFonts w:ascii="宋体" w:eastAsia="宋体" w:hAnsi="宋体"/>
                <w:bCs/>
                <w:color w:val="000000"/>
                <w:szCs w:val="21"/>
              </w:rPr>
            </w:pPr>
            <w:r>
              <w:rPr>
                <w:rFonts w:hint="eastAsia"/>
              </w:rPr>
              <w:t>3.未提供或未按要求提供或提供的不清晰导致专家无法判断的，不得分。</w:t>
            </w:r>
          </w:p>
        </w:tc>
        <w:tc>
          <w:tcPr>
            <w:tcW w:w="1760" w:type="dxa"/>
            <w:vAlign w:val="center"/>
          </w:tcPr>
          <w:p>
            <w:pPr>
              <w:widowControl w:val="0"/>
              <w:autoSpaceDE w:val="0"/>
              <w:autoSpaceDN w:val="0"/>
              <w:jc w:val="center"/>
              <w:rPr>
                <w:rFonts w:ascii="宋体" w:hAnsi="宋体"/>
                <w:color w:val="000000"/>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36"/>
          <w:jc w:val="center"/>
        </w:trPr>
        <w:tc>
          <w:tcPr>
            <w:tcW w:w="687" w:type="dxa"/>
            <w:vAlign w:val="center"/>
          </w:tcPr>
          <w:p>
            <w:pPr>
              <w:widowControl w:val="0"/>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拟安排的项目主要团队成员（主要技术人员）情况（项目负责人除外）</w:t>
            </w:r>
          </w:p>
        </w:tc>
        <w:tc>
          <w:tcPr>
            <w:tcW w:w="852" w:type="dxa"/>
            <w:vAlign w:val="center"/>
          </w:tcPr>
          <w:p>
            <w:pPr>
              <w:widowControl w:val="0"/>
              <w:autoSpaceDE w:val="0"/>
              <w:autoSpaceDN w:val="0"/>
              <w:jc w:val="center"/>
              <w:rPr>
                <w:rFonts w:ascii="宋体" w:hAnsi="宋体" w:cs="宋体"/>
                <w:szCs w:val="21"/>
              </w:rPr>
            </w:pPr>
            <w:r>
              <w:rPr>
                <w:rFonts w:ascii="宋体" w:hAnsi="宋体"/>
                <w:szCs w:val="21"/>
              </w:rPr>
              <w:t>5</w:t>
            </w:r>
          </w:p>
        </w:tc>
        <w:tc>
          <w:tcPr>
            <w:tcW w:w="4710" w:type="dxa"/>
          </w:tcPr>
          <w:p>
            <w:pPr>
              <w:pStyle w:val="ListParagraph"/>
              <w:widowControl w:val="0"/>
              <w:numPr>
                <w:ilvl w:val="0"/>
                <w:numId w:val="0"/>
              </w:numPr>
              <w:snapToGrid w:val="0"/>
              <w:ind w:left="0" w:firstLine="0" w:firstLineChars="0"/>
              <w:rPr>
                <w:rFonts w:ascii="宋体" w:hAnsi="宋体"/>
                <w:szCs w:val="21"/>
              </w:rPr>
            </w:pPr>
            <w:r>
              <w:rPr>
                <w:rFonts w:ascii="宋体" w:eastAsia="宋体" w:hAnsi="宋体" w:cs="宋体" w:hint="eastAsia"/>
                <w:szCs w:val="21"/>
              </w:rPr>
              <w:t>（一）</w:t>
            </w:r>
            <w:r>
              <w:rPr>
                <w:rFonts w:ascii="宋体" w:hAnsi="宋体" w:hint="eastAsia"/>
                <w:szCs w:val="21"/>
              </w:rPr>
              <w:t>评分内容：</w:t>
            </w:r>
          </w:p>
          <w:p>
            <w:pPr>
              <w:widowControl w:val="0"/>
            </w:pPr>
            <w:r>
              <w:rPr>
                <w:rFonts w:hint="eastAsia"/>
              </w:rPr>
              <w:t>拟安排的项目主要团队成员具有博士学位或高级职称的每提供一人得10分，最高100分。</w:t>
            </w:r>
          </w:p>
          <w:p>
            <w:pPr>
              <w:widowControl w:val="0"/>
            </w:pPr>
            <w:r>
              <w:rPr>
                <w:rFonts w:ascii="宋体" w:hAnsi="宋体" w:hint="eastAsia"/>
                <w:szCs w:val="21"/>
              </w:rPr>
              <w:t>（二）评分依据：</w:t>
            </w:r>
            <w:r>
              <w:t xml:space="preserve"> </w:t>
            </w:r>
          </w:p>
          <w:p>
            <w:pPr>
              <w:widowControl w:val="0"/>
            </w:pPr>
            <w:r>
              <w:rPr>
                <w:rFonts w:hint="eastAsia"/>
              </w:rPr>
              <w:t>1.要求提供通过投标人缴纳的近3个月（由于社保部门原因最近一个月的社保证明无法提供的可往前顺延一个月）的社保证明作为本单位员工的证明依据，并同时提供相关学历证明或高级职称证明扫描件作为得分依据</w:t>
            </w:r>
            <w:r>
              <w:rPr>
                <w:rFonts w:ascii="宋体" w:eastAsia="宋体" w:hAnsi="宋体" w:cs="宋体" w:hint="eastAsia"/>
              </w:rPr>
              <w:t>；</w:t>
            </w:r>
          </w:p>
          <w:p>
            <w:pPr>
              <w:widowControl w:val="0"/>
              <w:rPr>
                <w:rFonts w:ascii="宋体" w:hAnsi="宋体" w:cs="宋体"/>
                <w:b/>
                <w:szCs w:val="21"/>
              </w:rPr>
            </w:pPr>
            <w:r>
              <w:rPr>
                <w:rFonts w:hint="eastAsia"/>
              </w:rPr>
              <w:t>2.未提供或未按要求提供或提供的不清晰导致专家无法判断的，不得分。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624"/>
          <w:jc w:val="center"/>
        </w:trPr>
        <w:tc>
          <w:tcPr>
            <w:tcW w:w="7821" w:type="dxa"/>
            <w:gridSpan w:val="4"/>
            <w:vAlign w:val="center"/>
          </w:tcPr>
          <w:p>
            <w:pPr>
              <w:widowControl w:val="0"/>
              <w:autoSpaceDE w:val="0"/>
              <w:autoSpaceDN w:val="0"/>
              <w:jc w:val="center"/>
              <w:rPr>
                <w:rFonts w:ascii="宋体" w:hAnsi="宋体"/>
                <w:szCs w:val="21"/>
              </w:rPr>
            </w:pPr>
            <w:r>
              <w:rPr>
                <w:rFonts w:ascii="宋体" w:hAnsi="宋体" w:hint="eastAsia"/>
                <w:b/>
                <w:bCs/>
                <w:szCs w:val="21"/>
                <w:lang w:val="zh-CN"/>
              </w:rPr>
              <w:t>四、诚信情况</w:t>
            </w:r>
          </w:p>
        </w:tc>
        <w:tc>
          <w:tcPr>
            <w:tcW w:w="1760" w:type="dxa"/>
            <w:tcBorders>
              <w:top w:val="single" w:sz="4" w:space="0" w:color="auto"/>
              <w:bottom w:val="single" w:sz="4" w:space="0" w:color="auto"/>
            </w:tcBorders>
            <w:vAlign w:val="center"/>
          </w:tcPr>
          <w:p>
            <w:pPr>
              <w:widowControl w:val="0"/>
              <w:autoSpaceDE w:val="0"/>
              <w:autoSpaceDN w:val="0"/>
              <w:jc w:val="center"/>
              <w:rPr>
                <w:rFonts w:ascii="宋体" w:hAnsi="宋体"/>
                <w:szCs w:val="21"/>
              </w:rPr>
            </w:pPr>
            <w:r>
              <w:rPr>
                <w:rFonts w:ascii="宋体" w:hAnsi="宋体" w:hint="eastAsia"/>
                <w:szCs w:val="21"/>
              </w:rPr>
              <w:t>5</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rPr>
            </w:pPr>
            <w:r>
              <w:rPr>
                <w:rFonts w:ascii="宋体" w:hAnsi="宋体" w:hint="eastAsia"/>
                <w:szCs w:val="21"/>
                <w:lang w:val="zh-CN"/>
              </w:rPr>
              <w:t>序号</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内容</w:t>
            </w:r>
          </w:p>
        </w:tc>
        <w:tc>
          <w:tcPr>
            <w:tcW w:w="852" w:type="dxa"/>
            <w:tcBorders>
              <w:top w:val="single" w:sz="4" w:space="0" w:color="auto"/>
              <w:bottom w:val="single" w:sz="4" w:space="0" w:color="auto"/>
            </w:tcBorders>
            <w:vAlign w:val="center"/>
          </w:tcPr>
          <w:p>
            <w:pPr>
              <w:widowControl w:val="0"/>
              <w:autoSpaceDE w:val="0"/>
              <w:autoSpaceDN w:val="0"/>
              <w:jc w:val="center"/>
              <w:rPr>
                <w:rFonts w:ascii="宋体" w:hAnsi="宋体" w:cs="宋体"/>
                <w:szCs w:val="21"/>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c>
          <w:tcPr>
            <w:tcW w:w="4710" w:type="dxa"/>
            <w:tcBorders>
              <w:top w:val="single" w:sz="4" w:space="0" w:color="auto"/>
              <w:bottom w:val="single" w:sz="4" w:space="0" w:color="auto"/>
            </w:tcBorders>
            <w:vAlign w:val="center"/>
          </w:tcPr>
          <w:p>
            <w:pPr>
              <w:widowControl w:val="0"/>
              <w:autoSpaceDE w:val="0"/>
              <w:autoSpaceDN w:val="0"/>
              <w:jc w:val="center"/>
              <w:rPr>
                <w:rFonts w:ascii="宋体" w:hAnsi="宋体"/>
                <w:szCs w:val="21"/>
              </w:rPr>
            </w:pPr>
            <w:r>
              <w:rPr>
                <w:rFonts w:ascii="宋体" w:hAnsi="宋体" w:hint="eastAsia"/>
                <w:szCs w:val="21"/>
                <w:lang w:val="zh-CN"/>
              </w:rPr>
              <w:t>评分规则</w:t>
            </w:r>
          </w:p>
        </w:tc>
        <w:tc>
          <w:tcPr>
            <w:tcW w:w="1760" w:type="dxa"/>
            <w:tcBorders>
              <w:top w:val="single" w:sz="4" w:space="0" w:color="auto"/>
              <w:bottom w:val="single" w:sz="4" w:space="0" w:color="auto"/>
            </w:tcBorders>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tc>
      </w:tr>
      <w:tr>
        <w:tblPrEx>
          <w:tblW w:w="9581" w:type="dxa"/>
          <w:jc w:val="center"/>
          <w:tblLayout w:type="fixed"/>
          <w:tblCellMar>
            <w:top w:w="0" w:type="dxa"/>
            <w:left w:w="108" w:type="dxa"/>
            <w:bottom w:w="0" w:type="dxa"/>
            <w:right w:w="108" w:type="dxa"/>
          </w:tblCellMar>
        </w:tblPrEx>
        <w:trPr>
          <w:trHeight w:val="1282"/>
          <w:jc w:val="center"/>
        </w:trPr>
        <w:tc>
          <w:tcPr>
            <w:tcW w:w="687" w:type="dxa"/>
            <w:vAlign w:val="center"/>
          </w:tcPr>
          <w:p>
            <w:pPr>
              <w:widowControl w:val="0"/>
              <w:autoSpaceDE w:val="0"/>
              <w:autoSpaceDN w:val="0"/>
              <w:jc w:val="center"/>
              <w:rPr>
                <w:rFonts w:ascii="宋体" w:hAnsi="宋体"/>
                <w:szCs w:val="21"/>
              </w:rPr>
            </w:pPr>
            <w:r>
              <w:rPr>
                <w:rFonts w:ascii="宋体" w:hAnsi="宋体" w:hint="eastAsia"/>
                <w:szCs w:val="21"/>
              </w:rPr>
              <w:t>1</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rPr>
              <w:t>诚信</w:t>
            </w:r>
          </w:p>
        </w:tc>
        <w:tc>
          <w:tcPr>
            <w:tcW w:w="852" w:type="dxa"/>
            <w:tcBorders>
              <w:top w:val="single" w:sz="4" w:space="0" w:color="auto"/>
              <w:bottom w:val="single" w:sz="4" w:space="0" w:color="auto"/>
            </w:tcBorders>
            <w:vAlign w:val="center"/>
          </w:tcPr>
          <w:p>
            <w:pPr>
              <w:widowControl w:val="0"/>
              <w:autoSpaceDE w:val="0"/>
              <w:autoSpaceDN w:val="0"/>
              <w:jc w:val="center"/>
              <w:rPr>
                <w:rFonts w:ascii="宋体" w:hAnsi="宋体" w:cs="宋体"/>
                <w:szCs w:val="21"/>
              </w:rPr>
            </w:pPr>
            <w:r>
              <w:rPr>
                <w:rFonts w:ascii="宋体" w:hAnsi="宋体" w:hint="eastAsia"/>
                <w:szCs w:val="21"/>
              </w:rPr>
              <w:t>5</w:t>
            </w:r>
          </w:p>
        </w:tc>
        <w:tc>
          <w:tcPr>
            <w:tcW w:w="4710" w:type="dxa"/>
            <w:tcBorders>
              <w:top w:val="single" w:sz="4" w:space="0" w:color="auto"/>
              <w:bottom w:val="single" w:sz="4" w:space="0" w:color="auto"/>
            </w:tcBorders>
            <w:vAlign w:val="center"/>
          </w:tcPr>
          <w:p>
            <w:pPr>
              <w:widowControl w:val="0"/>
              <w:autoSpaceDE w:val="0"/>
              <w:autoSpaceDN w:val="0"/>
              <w:rPr>
                <w:rFonts w:ascii="宋体" w:hAnsi="宋体"/>
                <w:szCs w:val="21"/>
              </w:rPr>
            </w:pPr>
            <w:r>
              <w:rPr>
                <w:rFonts w:ascii="宋体" w:hAnsi="宋体" w:cs="宋体" w:hint="eastAsia"/>
                <w:szCs w:val="21"/>
              </w:rPr>
              <w:t>投标人在参与政府采购活动中存在被记入诚信档案的情形（被禁止参与政府采购活动除外）且在主管部门相关处理措施实施期限内的，本项不得分，否则得满分。投标人无需提供任何证明材料，由工作人员向评审委员会提供相关信息。</w:t>
            </w:r>
          </w:p>
        </w:tc>
        <w:tc>
          <w:tcPr>
            <w:tcW w:w="1760" w:type="dxa"/>
            <w:tcBorders>
              <w:top w:val="single" w:sz="4" w:space="0" w:color="auto"/>
              <w:bottom w:val="single" w:sz="4" w:space="0" w:color="auto"/>
            </w:tcBorders>
            <w:vAlign w:val="center"/>
          </w:tcPr>
          <w:p>
            <w:pPr>
              <w:widowControl w:val="0"/>
              <w:autoSpaceDE w:val="0"/>
              <w:autoSpaceDN w:val="0"/>
              <w:jc w:val="center"/>
              <w:rPr>
                <w:rFonts w:ascii="宋体" w:hAnsi="宋体"/>
                <w:szCs w:val="21"/>
                <w:lang w:val="zh-CN"/>
              </w:rPr>
            </w:pPr>
            <w:r>
              <w:rPr>
                <w:rFonts w:ascii="宋体" w:hAnsi="宋体" w:hint="eastAsia"/>
                <w:szCs w:val="21"/>
              </w:rPr>
              <w:t>专家打分</w:t>
            </w:r>
          </w:p>
        </w:tc>
      </w:tr>
    </w:tbl>
    <w:p>
      <w:pPr>
        <w:pStyle w:val="BodyText"/>
        <w:rPr>
          <w:rFonts w:eastAsiaTheme="minorEastAsia"/>
        </w:rPr>
      </w:pPr>
    </w:p>
    <w:p>
      <w:pPr>
        <w:jc w:val="center"/>
        <w:rPr>
          <w:b/>
          <w:sz w:val="120"/>
          <w:szCs w:val="120"/>
        </w:rPr>
      </w:pPr>
      <w:r>
        <w:rPr>
          <w:i w:val="0"/>
          <w:iCs w:val="0"/>
        </w:rPr>
        <w:br w:type="page"/>
      </w: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eastAsia="宋体" w:hint="eastAsia"/>
          <w:b/>
          <w:sz w:val="28"/>
          <w:szCs w:val="28"/>
        </w:rPr>
        <w:t>2</w:t>
      </w:r>
      <w:r>
        <w:rPr>
          <w:rFonts w:hint="eastAsia"/>
          <w:b/>
          <w:sz w:val="28"/>
          <w:szCs w:val="28"/>
        </w:rPr>
        <w:t>）</w:t>
      </w:r>
      <w:bookmarkEnd w:id="0"/>
    </w:p>
    <w:p>
      <w:pPr>
        <w:ind w:firstLine="3600" w:firstLineChars="1500"/>
        <w:rPr>
          <w:rFonts w:ascii="宋体" w:hAnsi="宋体"/>
          <w:color w:val="FF0000"/>
          <w:szCs w:val="21"/>
        </w:rPr>
      </w:pPr>
      <w:r>
        <w:rPr>
          <w:rFonts w:hint="eastAsia"/>
        </w:rPr>
        <w:br w:type="page"/>
      </w:r>
      <w:r>
        <w:rPr>
          <w:rFonts w:ascii="宋体" w:eastAsia="黑体" w:hAnsi="宋体" w:hint="eastAsia"/>
          <w:b/>
          <w:bCs/>
          <w:color w:val="FF0000"/>
          <w:kern w:val="44"/>
          <w:sz w:val="28"/>
          <w:szCs w:val="44"/>
        </w:rPr>
        <w:t>警示条款</w:t>
      </w:r>
    </w:p>
    <w:p>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80" w:firstLineChars="200"/>
        <w:rPr>
          <w:rFonts w:ascii="宋体" w:hAnsi="宋体"/>
          <w:color w:val="FF0000"/>
          <w:sz w:val="20"/>
          <w:szCs w:val="20"/>
        </w:rPr>
      </w:pPr>
      <w:r>
        <w:rPr>
          <w:rFonts w:ascii="宋体" w:hAnsi="宋体" w:hint="eastAsia"/>
          <w:color w:val="FF0000"/>
          <w:sz w:val="20"/>
          <w:szCs w:val="20"/>
        </w:rPr>
        <w:t>（六）恶意投诉的；</w:t>
      </w:r>
    </w:p>
    <w:p>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80" w:firstLineChars="2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pPr>
        <w:ind w:firstLine="480" w:firstLineChars="2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80" w:firstLineChars="2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pPr>
        <w:ind w:firstLine="480" w:firstLineChars="2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80" w:firstLineChars="2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80" w:firstLineChars="200"/>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80" w:firstLineChars="200"/>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8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
      <w:pPr>
        <w:pStyle w:val="Heading1"/>
      </w:pPr>
      <w:r>
        <w:rPr>
          <w:rFonts w:hint="eastAsia"/>
        </w:rPr>
        <w:t>目   录</w:t>
      </w:r>
    </w:p>
    <w:p>
      <w:pPr>
        <w:outlineLvl w:val="0"/>
        <w:rPr>
          <w:b/>
        </w:rPr>
      </w:pPr>
      <w:r>
        <w:rPr>
          <w:rFonts w:hint="eastAsia"/>
          <w:b/>
        </w:rPr>
        <w:t>第一册  专用条款</w:t>
      </w:r>
    </w:p>
    <w:p>
      <w:r>
        <w:rPr>
          <w:rFonts w:hint="eastAsia"/>
        </w:rPr>
        <w:t xml:space="preserve">          关键信息</w:t>
      </w:r>
    </w:p>
    <w:p>
      <w:pPr>
        <w:ind w:left="720" w:firstLine="720" w:leftChars="300" w:firstLineChars="300"/>
        <w:rPr>
          <w:rFonts w:ascii="宋体" w:hAnsi="宋体"/>
          <w:szCs w:val="21"/>
        </w:rPr>
      </w:pPr>
      <w:r>
        <w:rPr>
          <w:rFonts w:ascii="宋体" w:hAnsi="宋体" w:hint="eastAsia"/>
          <w:szCs w:val="21"/>
        </w:rPr>
        <w:t>第一章  招标公告</w:t>
      </w:r>
    </w:p>
    <w:p>
      <w:pPr>
        <w:ind w:left="720" w:firstLine="720" w:leftChars="300" w:firstLineChars="300"/>
        <w:rPr>
          <w:rFonts w:ascii="宋体" w:hAnsi="宋体"/>
          <w:szCs w:val="21"/>
        </w:rPr>
      </w:pPr>
      <w:r>
        <w:rPr>
          <w:rFonts w:ascii="宋体" w:hAnsi="宋体" w:hint="eastAsia"/>
          <w:szCs w:val="21"/>
        </w:rPr>
        <w:t xml:space="preserve">第二章  </w:t>
      </w:r>
      <w:bookmarkStart w:id="1" w:name="_Hlk71994379"/>
      <w:r>
        <w:rPr>
          <w:rFonts w:ascii="宋体" w:hAnsi="宋体" w:hint="eastAsia"/>
          <w:szCs w:val="21"/>
        </w:rPr>
        <w:t>对通用条款的补充内容及其他关键信息</w:t>
      </w:r>
      <w:bookmarkEnd w:id="1"/>
    </w:p>
    <w:p>
      <w:pPr>
        <w:ind w:left="720" w:firstLine="720" w:leftChars="300" w:firstLineChars="300"/>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pPr>
        <w:ind w:left="720" w:firstLine="720" w:leftChars="300" w:firstLineChars="300"/>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pPr>
        <w:ind w:left="720" w:firstLine="720" w:leftChars="300" w:firstLineChars="300"/>
        <w:rPr>
          <w:rFonts w:ascii="宋体" w:hAnsi="宋体"/>
          <w:szCs w:val="21"/>
        </w:rPr>
      </w:pPr>
      <w:r>
        <w:rPr>
          <w:rFonts w:ascii="宋体" w:hAnsi="宋体" w:hint="eastAsia"/>
          <w:szCs w:val="21"/>
        </w:rPr>
        <w:t>第五章  合同条款及格式</w:t>
      </w:r>
    </w:p>
    <w:p>
      <w:pPr>
        <w:ind w:left="720" w:firstLine="720" w:leftChars="300" w:firstLineChars="300"/>
        <w:rPr>
          <w:rFonts w:ascii="宋体" w:eastAsia="宋体" w:hAnsi="宋体"/>
          <w:kern w:val="2"/>
          <w:sz w:val="21"/>
          <w:szCs w:val="21"/>
        </w:rPr>
      </w:pPr>
      <w:r>
        <w:rPr>
          <w:rFonts w:ascii="宋体" w:hAnsi="宋体" w:hint="eastAsia"/>
          <w:szCs w:val="21"/>
        </w:rPr>
        <w:t xml:space="preserve">第六章  </w:t>
      </w:r>
      <w:r>
        <w:rPr>
          <w:rFonts w:ascii="宋体" w:eastAsia="Times New Roman" w:hAnsi="宋体" w:hint="eastAsia"/>
          <w:kern w:val="0"/>
          <w:sz w:val="24"/>
          <w:szCs w:val="21"/>
        </w:rPr>
        <w:t>政府采购履约异常情况反馈表</w:t>
      </w:r>
    </w:p>
    <w:p>
      <w:pPr>
        <w:rPr>
          <w:b/>
        </w:rPr>
      </w:pPr>
    </w:p>
    <w:p>
      <w:pPr>
        <w:outlineLvl w:val="0"/>
        <w:rPr>
          <w:b/>
        </w:rPr>
      </w:pPr>
      <w:r>
        <w:rPr>
          <w:rFonts w:hint="eastAsia"/>
          <w:b/>
        </w:rPr>
        <w:t>第二册  通用条款</w:t>
      </w:r>
    </w:p>
    <w:p>
      <w:pPr>
        <w:ind w:left="720" w:firstLine="470" w:leftChars="300" w:firstLineChars="196"/>
        <w:rPr>
          <w:rFonts w:ascii="宋体" w:hAnsi="宋体"/>
          <w:szCs w:val="21"/>
        </w:rPr>
      </w:pPr>
      <w:r>
        <w:rPr>
          <w:rFonts w:ascii="宋体" w:hAnsi="宋体" w:hint="eastAsia"/>
          <w:szCs w:val="21"/>
        </w:rPr>
        <w:t>第一章  总则</w:t>
      </w:r>
    </w:p>
    <w:p>
      <w:pPr>
        <w:ind w:left="720" w:firstLine="470" w:leftChars="300" w:firstLineChars="196"/>
        <w:rPr>
          <w:rFonts w:ascii="宋体" w:hAnsi="宋体"/>
          <w:szCs w:val="21"/>
        </w:rPr>
      </w:pPr>
      <w:r>
        <w:rPr>
          <w:rFonts w:ascii="宋体" w:hAnsi="宋体" w:hint="eastAsia"/>
          <w:szCs w:val="21"/>
        </w:rPr>
        <w:t>第二章  招标文件</w:t>
      </w:r>
    </w:p>
    <w:p>
      <w:pPr>
        <w:ind w:left="720" w:firstLine="470" w:leftChars="300" w:firstLineChars="196"/>
        <w:rPr>
          <w:rFonts w:ascii="宋体" w:hAnsi="宋体"/>
          <w:szCs w:val="21"/>
        </w:rPr>
      </w:pPr>
      <w:r>
        <w:rPr>
          <w:rFonts w:ascii="宋体" w:hAnsi="宋体" w:hint="eastAsia"/>
          <w:szCs w:val="21"/>
        </w:rPr>
        <w:t>第三章  投标文件的编制</w:t>
      </w:r>
    </w:p>
    <w:p>
      <w:pPr>
        <w:ind w:left="720" w:firstLine="470" w:leftChars="300" w:firstLineChars="196"/>
        <w:rPr>
          <w:rFonts w:ascii="宋体" w:hAnsi="宋体"/>
          <w:szCs w:val="21"/>
        </w:rPr>
      </w:pPr>
      <w:r>
        <w:rPr>
          <w:rFonts w:ascii="宋体" w:hAnsi="宋体" w:hint="eastAsia"/>
          <w:szCs w:val="21"/>
        </w:rPr>
        <w:t>第四章  投标文件的递交</w:t>
      </w:r>
    </w:p>
    <w:p>
      <w:pPr>
        <w:ind w:left="720" w:firstLine="470" w:leftChars="300" w:firstLineChars="196"/>
        <w:rPr>
          <w:rFonts w:ascii="宋体" w:hAnsi="宋体"/>
          <w:szCs w:val="21"/>
        </w:rPr>
      </w:pPr>
      <w:r>
        <w:rPr>
          <w:rFonts w:ascii="宋体" w:hAnsi="宋体" w:hint="eastAsia"/>
          <w:szCs w:val="21"/>
        </w:rPr>
        <w:t>第五章  开标</w:t>
      </w:r>
    </w:p>
    <w:p>
      <w:pPr>
        <w:ind w:left="720" w:firstLine="470" w:leftChars="300" w:firstLineChars="196"/>
        <w:rPr>
          <w:rFonts w:ascii="宋体" w:hAnsi="宋体"/>
          <w:szCs w:val="21"/>
        </w:rPr>
      </w:pPr>
      <w:r>
        <w:rPr>
          <w:rFonts w:ascii="宋体" w:hAnsi="宋体" w:hint="eastAsia"/>
          <w:szCs w:val="21"/>
        </w:rPr>
        <w:t>第六章  评审要求</w:t>
      </w:r>
    </w:p>
    <w:p>
      <w:pPr>
        <w:ind w:left="720" w:firstLine="470" w:leftChars="300" w:firstLineChars="196"/>
        <w:rPr>
          <w:rFonts w:ascii="宋体" w:hAnsi="宋体"/>
          <w:szCs w:val="21"/>
        </w:rPr>
      </w:pPr>
      <w:r>
        <w:rPr>
          <w:rFonts w:ascii="宋体" w:hAnsi="宋体" w:hint="eastAsia"/>
          <w:szCs w:val="21"/>
        </w:rPr>
        <w:t>第七章  评审程序及评审方法</w:t>
      </w:r>
    </w:p>
    <w:p>
      <w:pPr>
        <w:ind w:left="720" w:firstLine="470" w:leftChars="300" w:firstLineChars="196"/>
        <w:rPr>
          <w:rFonts w:ascii="宋体" w:hAnsi="宋体"/>
          <w:szCs w:val="21"/>
        </w:rPr>
      </w:pPr>
      <w:r>
        <w:rPr>
          <w:rFonts w:ascii="宋体" w:hAnsi="宋体" w:hint="eastAsia"/>
          <w:szCs w:val="21"/>
        </w:rPr>
        <w:t>第八章  定标及公示</w:t>
      </w:r>
    </w:p>
    <w:p>
      <w:pPr>
        <w:ind w:left="720" w:firstLine="470" w:leftChars="300" w:firstLineChars="196"/>
        <w:rPr>
          <w:rFonts w:ascii="宋体" w:hAnsi="宋体"/>
          <w:szCs w:val="21"/>
        </w:rPr>
      </w:pPr>
      <w:r>
        <w:rPr>
          <w:rFonts w:ascii="宋体" w:hAnsi="宋体" w:hint="eastAsia"/>
          <w:szCs w:val="21"/>
        </w:rPr>
        <w:t>第九章  公开招标失败的后续处理</w:t>
      </w:r>
    </w:p>
    <w:p>
      <w:pPr>
        <w:ind w:left="720" w:firstLine="470" w:leftChars="300" w:firstLineChars="196"/>
        <w:rPr>
          <w:rFonts w:ascii="宋体" w:hAnsi="宋体"/>
          <w:szCs w:val="21"/>
        </w:rPr>
      </w:pPr>
      <w:r>
        <w:rPr>
          <w:rFonts w:ascii="宋体" w:hAnsi="宋体" w:hint="eastAsia"/>
          <w:szCs w:val="21"/>
        </w:rPr>
        <w:t>第十章  合同的授予与备案</w:t>
      </w:r>
    </w:p>
    <w:p>
      <w:pPr>
        <w:ind w:firstLine="1200" w:firstLineChars="500"/>
        <w:outlineLvl w:val="0"/>
        <w:rPr>
          <w:rFonts w:ascii="宋体" w:hAnsi="宋体"/>
          <w:szCs w:val="21"/>
        </w:rPr>
      </w:pPr>
      <w:r>
        <w:rPr>
          <w:rFonts w:ascii="宋体" w:hAnsi="宋体" w:hint="eastAsia"/>
          <w:szCs w:val="21"/>
        </w:rPr>
        <w:t>第十一章  质疑处理</w:t>
      </w:r>
    </w:p>
    <w:p>
      <w:pPr>
        <w:ind w:firstLine="1200" w:firstLineChars="500"/>
        <w:outlineLvl w:val="0"/>
        <w:rPr>
          <w:rFonts w:ascii="宋体" w:eastAsia="宋体" w:hAnsi="宋体"/>
          <w:sz w:val="21"/>
          <w:szCs w:val="21"/>
        </w:rPr>
      </w:pPr>
      <w:r>
        <w:rPr>
          <w:rFonts w:ascii="宋体" w:eastAsia="宋体" w:hAnsi="宋体" w:hint="eastAsia"/>
          <w:szCs w:val="21"/>
        </w:rPr>
        <w:t xml:space="preserve">第十二章 </w:t>
      </w:r>
      <w:r>
        <w:rPr>
          <w:rFonts w:ascii="宋体" w:eastAsia="Times New Roman" w:hAnsi="宋体" w:hint="eastAsia"/>
          <w:sz w:val="24"/>
          <w:szCs w:val="21"/>
        </w:rPr>
        <w:t>招标代理服务取费说明</w:t>
      </w:r>
    </w:p>
    <w:p>
      <w:pPr>
        <w:pStyle w:val="BodyText"/>
      </w:pPr>
    </w:p>
    <w:p>
      <w:pPr>
        <w:spacing w:line="360" w:lineRule="auto"/>
        <w:ind w:firstLine="480" w:firstLineChars="200"/>
        <w:rPr>
          <w:rFonts w:ascii="宋体" w:hAnsi="宋体"/>
          <w:szCs w:val="21"/>
        </w:rPr>
      </w:pPr>
    </w:p>
    <w:p>
      <w:pPr>
        <w:pStyle w:val="Heading1"/>
      </w:pPr>
      <w:r>
        <w:br w:type="page"/>
      </w:r>
      <w:bookmarkStart w:id="2" w:name="bt投标报价汇总表"/>
      <w:bookmarkEnd w:id="2"/>
      <w:bookmarkStart w:id="3" w:name="bt说明"/>
      <w:bookmarkEnd w:id="3"/>
      <w:bookmarkStart w:id="4" w:name="bt投标人情况介绍"/>
      <w:bookmarkEnd w:id="4"/>
      <w:bookmarkStart w:id="5" w:name="bt投标文件签署授权委托书"/>
      <w:bookmarkEnd w:id="5"/>
      <w:bookmarkStart w:id="6" w:name="bt技术标投标文件格式"/>
      <w:bookmarkEnd w:id="6"/>
      <w:bookmarkStart w:id="7" w:name="bt投标函"/>
      <w:bookmarkEnd w:id="7"/>
      <w:bookmarkStart w:id="8" w:name="bt合同条款"/>
      <w:bookmarkEnd w:id="8"/>
      <w:bookmarkStart w:id="9" w:name="bt项目管理班子配备情况"/>
      <w:bookmarkEnd w:id="9"/>
      <w:bookmarkStart w:id="10" w:name="合同格式"/>
      <w:bookmarkEnd w:id="10"/>
      <w:bookmarkStart w:id="11" w:name="bt其他资料2"/>
      <w:bookmarkEnd w:id="11"/>
      <w:bookmarkStart w:id="12" w:name="bt本工程承诺书"/>
      <w:bookmarkEnd w:id="12"/>
      <w:bookmarkStart w:id="13" w:name="bt开标一览表"/>
      <w:bookmarkEnd w:id="13"/>
      <w:bookmarkStart w:id="14" w:name="bt合同格式"/>
      <w:bookmarkEnd w:id="14"/>
      <w:bookmarkStart w:id="15" w:name="bt投标人须知"/>
      <w:bookmarkEnd w:id="15"/>
      <w:bookmarkStart w:id="16" w:name="bt商务标投标文件格式"/>
      <w:bookmarkEnd w:id="16"/>
      <w:bookmarkStart w:id="17" w:name="bt其他资料由投标人自定"/>
      <w:bookmarkEnd w:id="17"/>
      <w:bookmarkStart w:id="18" w:name="bt合同条款及格式"/>
      <w:bookmarkEnd w:id="18"/>
      <w:r>
        <w:rPr>
          <w:rFonts w:hint="eastAsia"/>
        </w:rPr>
        <w:t>第一册专用条款</w:t>
      </w:r>
    </w:p>
    <w:p>
      <w:pPr>
        <w:pStyle w:val="Heading2"/>
        <w:numPr>
          <w:ilvl w:val="0"/>
          <w:numId w:val="4"/>
        </w:numPr>
      </w:pPr>
      <w:r>
        <w:rPr>
          <w:rFonts w:hint="eastAsia"/>
        </w:rPr>
        <w:t xml:space="preserve"> 招标公告  </w:t>
      </w:r>
    </w:p>
    <w:p>
      <w:pPr>
        <w:pStyle w:val="NormalIndent"/>
        <w:spacing w:before="60" w:beforeLines="25" w:after="60" w:afterLines="25"/>
        <w:ind w:firstLine="449" w:firstLineChars="187"/>
        <w:rPr>
          <w:rFonts w:ascii="宋体" w:hAnsi="宋体" w:cs="宋体"/>
          <w:b/>
          <w:bCs/>
          <w:szCs w:val="21"/>
        </w:rPr>
      </w:pPr>
      <w:r>
        <w:rPr>
          <w:rFonts w:ascii="宋体" w:hAnsi="宋体" w:cs="宋体" w:hint="eastAsia"/>
          <w:b/>
          <w:bCs/>
          <w:szCs w:val="21"/>
        </w:rPr>
        <w:t>一、项目基本情况</w:t>
      </w:r>
    </w:p>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1.项目编号：</w:t>
      </w:r>
      <w:r>
        <w:rPr>
          <w:rFonts w:ascii="宋体" w:hAnsi="宋体" w:cs="宋体"/>
          <w:sz w:val="30"/>
          <w:szCs w:val="30"/>
        </w:rPr>
        <w:t>PSCG2022000018</w:t>
      </w:r>
    </w:p>
    <w:p>
      <w:pPr>
        <w:pStyle w:val="NormalIndent"/>
        <w:spacing w:before="60" w:beforeLines="25" w:after="60" w:afterLines="25"/>
        <w:ind w:left="509" w:hanging="29" w:leftChars="200" w:hangingChars="12"/>
        <w:rPr>
          <w:rFonts w:ascii="宋体" w:eastAsia="宋体" w:hAnsi="宋体" w:cs="宋体"/>
          <w:szCs w:val="21"/>
        </w:rPr>
      </w:pPr>
      <w:r>
        <w:rPr>
          <w:rFonts w:ascii="宋体" w:hAnsi="宋体" w:cs="宋体" w:hint="eastAsia"/>
          <w:szCs w:val="21"/>
        </w:rPr>
        <w:t>2.项目名称：南方科技大学坪山生物医药研究院抗新冠口服药ATV014小分子药物临床研究(IND)技术服务</w:t>
      </w:r>
    </w:p>
    <w:p>
      <w:pPr>
        <w:pStyle w:val="NormalIndent"/>
        <w:spacing w:before="60" w:beforeLines="25" w:after="60" w:afterLines="25"/>
        <w:ind w:left="509" w:hanging="29" w:leftChars="200" w:hangingChars="12"/>
        <w:rPr>
          <w:rFonts w:ascii="宋体" w:hAnsi="宋体" w:cs="宋体"/>
          <w:szCs w:val="21"/>
        </w:rPr>
      </w:pPr>
      <w:r>
        <w:rPr>
          <w:rFonts w:ascii="宋体" w:hAnsi="宋体" w:cs="宋体" w:hint="eastAsia"/>
          <w:szCs w:val="21"/>
        </w:rPr>
        <w:t>3.预算金额：</w:t>
      </w:r>
      <w:r>
        <w:rPr>
          <w:rFonts w:ascii="宋体" w:eastAsia="宋体" w:hAnsi="宋体" w:cs="宋体" w:hint="eastAsia"/>
          <w:szCs w:val="21"/>
        </w:rPr>
        <w:t>13,500,000</w:t>
      </w:r>
      <w:r>
        <w:rPr>
          <w:rFonts w:ascii="宋体" w:hAnsi="宋体" w:cs="宋体" w:hint="eastAsia"/>
          <w:szCs w:val="21"/>
        </w:rPr>
        <w:t>.00元</w:t>
      </w:r>
    </w:p>
    <w:p>
      <w:pPr>
        <w:pStyle w:val="NormalIndent"/>
        <w:spacing w:before="60" w:beforeLines="25" w:after="60" w:afterLines="25"/>
        <w:ind w:left="509" w:hanging="29" w:leftChars="200" w:hangingChars="12"/>
        <w:rPr>
          <w:rFonts w:ascii="宋体" w:hAnsi="宋体" w:cs="宋体"/>
          <w:szCs w:val="21"/>
        </w:rPr>
      </w:pPr>
      <w:r>
        <w:rPr>
          <w:rFonts w:ascii="宋体" w:hAnsi="宋体" w:cs="宋体" w:hint="eastAsia"/>
          <w:szCs w:val="21"/>
        </w:rPr>
        <w:t>4.最高限价：</w:t>
      </w:r>
      <w:r>
        <w:rPr>
          <w:rFonts w:ascii="宋体" w:eastAsia="宋体" w:hAnsi="宋体" w:cs="宋体" w:hint="eastAsia"/>
          <w:szCs w:val="21"/>
        </w:rPr>
        <w:t>13,</w:t>
      </w:r>
      <w:r>
        <w:rPr>
          <w:rFonts w:ascii="宋体" w:eastAsia="宋体" w:hAnsi="宋体" w:cs="宋体"/>
          <w:szCs w:val="21"/>
        </w:rPr>
        <w:t>5</w:t>
      </w:r>
      <w:r>
        <w:rPr>
          <w:rFonts w:ascii="宋体" w:eastAsia="宋体" w:hAnsi="宋体" w:cs="宋体" w:hint="eastAsia"/>
          <w:szCs w:val="21"/>
        </w:rPr>
        <w:t>00,000</w:t>
      </w:r>
      <w:r>
        <w:rPr>
          <w:rFonts w:ascii="宋体" w:hAnsi="宋体" w:cs="宋体" w:hint="eastAsia"/>
          <w:szCs w:val="21"/>
        </w:rPr>
        <w:t>.00元</w:t>
      </w:r>
    </w:p>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5.采购需求：</w:t>
      </w:r>
    </w:p>
    <w:tbl>
      <w:tblPr>
        <w:tblStyle w:val="TableNormal"/>
        <w:tblW w:w="8072" w:type="dxa"/>
        <w:jc w:val="center"/>
        <w:tblBorders>
          <w:top w:val="outset" w:sz="6" w:space="0" w:color="AAAAAA"/>
          <w:left w:val="outset" w:sz="6" w:space="0" w:color="AAAAAA"/>
          <w:bottom w:val="outset" w:sz="6" w:space="0" w:color="AAAAAA"/>
          <w:right w:val="outset" w:sz="6" w:space="0" w:color="AAAAAA"/>
          <w:insideH w:val="nil"/>
          <w:insideV w:val="nil"/>
        </w:tblBorders>
        <w:tblLayout w:type="fixed"/>
        <w:tblCellMar>
          <w:top w:w="60" w:type="dxa"/>
          <w:left w:w="60" w:type="dxa"/>
          <w:bottom w:w="60" w:type="dxa"/>
          <w:right w:w="60" w:type="dxa"/>
        </w:tblCellMar>
      </w:tblPr>
      <w:tblGrid>
        <w:gridCol w:w="2228"/>
        <w:gridCol w:w="828"/>
        <w:gridCol w:w="723"/>
        <w:gridCol w:w="3570"/>
        <w:gridCol w:w="723"/>
      </w:tblGrid>
      <w:tr>
        <w:tblPrEx>
          <w:tblW w:w="8072" w:type="dxa"/>
          <w:jc w:val="center"/>
          <w:tblBorders>
            <w:top w:val="outset" w:sz="6" w:space="0" w:color="AAAAAA"/>
            <w:left w:val="outset" w:sz="6" w:space="0" w:color="AAAAAA"/>
            <w:bottom w:val="outset" w:sz="6" w:space="0" w:color="AAAAAA"/>
            <w:right w:val="outset" w:sz="6" w:space="0" w:color="AAAAAA"/>
            <w:insideH w:val="nil"/>
            <w:insideV w:val="nil"/>
          </w:tblBorders>
          <w:tblLayout w:type="fixed"/>
          <w:tblCellMar>
            <w:top w:w="60" w:type="dxa"/>
            <w:left w:w="60" w:type="dxa"/>
            <w:bottom w:w="60" w:type="dxa"/>
            <w:right w:w="60" w:type="dxa"/>
          </w:tblCellMar>
        </w:tblPrEx>
        <w:trPr>
          <w:jc w:val="center"/>
        </w:trPr>
        <w:tc>
          <w:tcPr>
            <w:tcW w:w="2228"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449" w:firstLineChars="187"/>
              <w:rPr>
                <w:rFonts w:ascii="宋体" w:hAnsi="宋体" w:cs="宋体"/>
                <w:szCs w:val="21"/>
              </w:rPr>
            </w:pPr>
            <w:r>
              <w:rPr>
                <w:rFonts w:ascii="宋体" w:hAnsi="宋体" w:cs="宋体"/>
                <w:szCs w:val="21"/>
              </w:rPr>
              <w:t>标的名称</w:t>
            </w:r>
          </w:p>
        </w:tc>
        <w:tc>
          <w:tcPr>
            <w:tcW w:w="828"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0"/>
              <w:rPr>
                <w:rFonts w:ascii="宋体" w:hAnsi="宋体" w:cs="宋体"/>
                <w:szCs w:val="21"/>
              </w:rPr>
            </w:pPr>
            <w:r>
              <w:rPr>
                <w:rFonts w:ascii="宋体" w:hAnsi="宋体" w:cs="宋体"/>
                <w:szCs w:val="21"/>
              </w:rPr>
              <w:t>数量</w:t>
            </w:r>
          </w:p>
        </w:tc>
        <w:tc>
          <w:tcPr>
            <w:tcW w:w="723"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0"/>
              <w:rPr>
                <w:rFonts w:ascii="宋体" w:hAnsi="宋体" w:cs="宋体"/>
                <w:szCs w:val="21"/>
              </w:rPr>
            </w:pPr>
            <w:r>
              <w:rPr>
                <w:rFonts w:ascii="宋体" w:hAnsi="宋体" w:cs="宋体"/>
                <w:szCs w:val="21"/>
              </w:rPr>
              <w:t>单位</w:t>
            </w:r>
          </w:p>
        </w:tc>
        <w:tc>
          <w:tcPr>
            <w:tcW w:w="3570"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449" w:firstLineChars="187"/>
              <w:rPr>
                <w:rFonts w:ascii="宋体" w:hAnsi="宋体" w:cs="宋体"/>
                <w:szCs w:val="21"/>
              </w:rPr>
            </w:pPr>
            <w:r>
              <w:rPr>
                <w:rFonts w:ascii="宋体" w:hAnsi="宋体" w:cs="宋体"/>
                <w:szCs w:val="21"/>
              </w:rPr>
              <w:t>简要技术需求（服务需求）</w:t>
            </w:r>
          </w:p>
        </w:tc>
        <w:tc>
          <w:tcPr>
            <w:tcW w:w="723"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0"/>
              <w:rPr>
                <w:rFonts w:ascii="宋体" w:hAnsi="宋体" w:cs="宋体"/>
                <w:szCs w:val="21"/>
              </w:rPr>
            </w:pPr>
            <w:r>
              <w:rPr>
                <w:rFonts w:ascii="宋体" w:hAnsi="宋体" w:cs="宋体"/>
                <w:szCs w:val="21"/>
              </w:rPr>
              <w:t>备注</w:t>
            </w:r>
          </w:p>
        </w:tc>
      </w:tr>
      <w:tr>
        <w:tblPrEx>
          <w:tblW w:w="8072" w:type="dxa"/>
          <w:jc w:val="center"/>
          <w:tblLayout w:type="fixed"/>
          <w:tblCellMar>
            <w:top w:w="60" w:type="dxa"/>
            <w:left w:w="60" w:type="dxa"/>
            <w:bottom w:w="60" w:type="dxa"/>
            <w:right w:w="60" w:type="dxa"/>
          </w:tblCellMar>
        </w:tblPrEx>
        <w:trPr>
          <w:jc w:val="center"/>
        </w:trPr>
        <w:tc>
          <w:tcPr>
            <w:tcW w:w="2228"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0"/>
              <w:rPr>
                <w:rFonts w:ascii="宋体" w:hAnsi="宋体" w:cs="宋体"/>
                <w:szCs w:val="21"/>
              </w:rPr>
            </w:pPr>
            <w:r>
              <w:rPr>
                <w:rFonts w:ascii="宋体" w:hAnsi="宋体" w:cs="宋体" w:hint="eastAsia"/>
                <w:szCs w:val="21"/>
              </w:rPr>
              <w:t>南方科技大学坪山生物医药研究院抗新冠口服药ATV014小分子药物临床研究(IND)技术服务</w:t>
            </w:r>
          </w:p>
        </w:tc>
        <w:tc>
          <w:tcPr>
            <w:tcW w:w="828"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 w:val="21"/>
                <w:szCs w:val="21"/>
              </w:rPr>
            </w:pPr>
            <w:r>
              <w:rPr>
                <w:rFonts w:ascii="宋体" w:hAnsi="宋体" w:cs="宋体"/>
                <w:sz w:val="21"/>
                <w:szCs w:val="21"/>
              </w:rPr>
              <w:t>1.0</w:t>
            </w:r>
          </w:p>
        </w:tc>
        <w:tc>
          <w:tcPr>
            <w:tcW w:w="723"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 w:val="21"/>
                <w:szCs w:val="21"/>
              </w:rPr>
            </w:pPr>
            <w:r>
              <w:rPr>
                <w:rFonts w:ascii="宋体" w:hAnsi="宋体" w:cs="宋体"/>
                <w:sz w:val="21"/>
                <w:szCs w:val="21"/>
              </w:rPr>
              <w:t>项</w:t>
            </w:r>
          </w:p>
        </w:tc>
        <w:tc>
          <w:tcPr>
            <w:tcW w:w="3570"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Cs w:val="21"/>
              </w:rPr>
            </w:pPr>
            <w:r>
              <w:rPr>
                <w:rFonts w:ascii="宋体" w:hAnsi="宋体" w:cs="宋体"/>
                <w:szCs w:val="21"/>
              </w:rPr>
              <w:t>详见采购文件</w:t>
            </w:r>
          </w:p>
        </w:tc>
        <w:tc>
          <w:tcPr>
            <w:tcW w:w="723"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Cs w:val="21"/>
              </w:rPr>
            </w:pPr>
          </w:p>
        </w:tc>
      </w:tr>
    </w:tbl>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6.合同履行期限：详见招标文件。</w:t>
      </w:r>
    </w:p>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7.本项目（是/否）接受联合体投标：详见“申请人的资格要求”。</w:t>
      </w:r>
    </w:p>
    <w:p>
      <w:pPr>
        <w:pStyle w:val="NormalIndent"/>
        <w:spacing w:before="60" w:beforeLines="25" w:after="60" w:afterLines="25"/>
        <w:ind w:firstLine="449" w:firstLineChars="187"/>
        <w:rPr>
          <w:rFonts w:ascii="宋体" w:hAnsi="宋体" w:cs="宋体"/>
          <w:b/>
          <w:bCs/>
          <w:szCs w:val="21"/>
        </w:rPr>
      </w:pPr>
      <w:r>
        <w:rPr>
          <w:rFonts w:ascii="宋体" w:hAnsi="宋体" w:cs="宋体" w:hint="eastAsia"/>
          <w:b/>
          <w:bCs/>
          <w:szCs w:val="21"/>
        </w:rPr>
        <w:t>二、申请人的资格要求：</w:t>
      </w:r>
    </w:p>
    <w:p>
      <w:pPr>
        <w:widowControl w:val="0"/>
        <w:snapToGrid w:val="0"/>
        <w:ind w:firstLine="480" w:firstLineChars="200"/>
        <w:rPr>
          <w:rFonts w:asciiTheme="minorEastAsia" w:hAnsiTheme="minorEastAsia" w:cstheme="minorEastAsia"/>
          <w:color w:val="000000" w:themeColor="text1"/>
        </w:rPr>
      </w:pPr>
      <w:r>
        <w:rPr>
          <w:rFonts w:asciiTheme="minorEastAsia" w:hAnsiTheme="minorEastAsia" w:cstheme="minorEastAsia" w:hint="eastAsia"/>
          <w:color w:val="000000" w:themeColor="text1"/>
        </w:rPr>
        <w:t>1.具有独立法人资格或是具有独立承担民事责任的能力的其它组织（提供营业执照扫描件或事业单位法人证书或其他主体证明文件的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ind w:firstLine="720" w:firstLineChars="30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w:t>
      </w:r>
      <w:r>
        <w:rPr>
          <w:rFonts w:ascii="宋体" w:hAnsi="宋体" w:cs="宋体" w:hint="eastAsia"/>
          <w:color w:val="000000" w:themeColor="text1"/>
          <w:szCs w:val="21"/>
          <w:lang w:val="zh-CN"/>
        </w:rPr>
        <w:t>本项目</w:t>
      </w:r>
      <w:r>
        <w:rPr>
          <w:rFonts w:ascii="宋体" w:eastAsia="宋体" w:hAnsi="宋体" w:cs="宋体" w:hint="eastAsia"/>
          <w:color w:val="000000" w:themeColor="text1"/>
          <w:szCs w:val="21"/>
          <w:lang w:val="zh-CN"/>
        </w:rPr>
        <w:t>不</w:t>
      </w:r>
      <w:r>
        <w:rPr>
          <w:rFonts w:ascii="宋体" w:hAnsi="宋体" w:cs="宋体" w:hint="eastAsia"/>
          <w:color w:val="000000" w:themeColor="text1"/>
          <w:szCs w:val="21"/>
          <w:lang w:val="zh-CN"/>
        </w:rPr>
        <w:t>接受联合体投标</w:t>
      </w:r>
      <w:r>
        <w:rPr>
          <w:rFonts w:ascii="宋体" w:hAnsi="宋体" w:cs="宋体" w:hint="eastAsia"/>
          <w:color w:val="000000" w:themeColor="text1"/>
          <w:szCs w:val="21"/>
        </w:rPr>
        <w:t>；</w:t>
      </w:r>
    </w:p>
    <w:p>
      <w:pPr>
        <w:ind w:firstLine="720" w:firstLineChars="30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w:t>
      </w:r>
      <w:r>
        <w:rPr>
          <w:rFonts w:ascii="宋体" w:hAnsi="宋体" w:cs="宋体" w:hint="eastAsia"/>
          <w:color w:val="000000" w:themeColor="text1"/>
          <w:szCs w:val="21"/>
        </w:rPr>
        <w:t>参与本项目投标前三年内，在经营活动中没有重大违法记录（由供应商在《政府采购投标及履约承诺函》中作出声明）；</w:t>
      </w:r>
    </w:p>
    <w:p>
      <w:pPr>
        <w:ind w:firstLine="720" w:firstLineChars="30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w:t>
      </w:r>
      <w:r>
        <w:rPr>
          <w:rFonts w:ascii="宋体" w:hAnsi="宋体" w:cs="宋体" w:hint="eastAsia"/>
          <w:color w:val="000000" w:themeColor="text1"/>
          <w:szCs w:val="21"/>
        </w:rPr>
        <w:t>参与本项目政府采购活动时不存在被有关部门禁止参与政府采购活动且在有效期内的情况；与其他投标供应商不存在单位负责人为同一人或者存在直接控股、管理关系；未对本次采购项目提供整体设计、规范编制或者项目管理、监理、检测等服务。（由供应商在《政府采购投标及履约承诺函》中作出声明）；</w:t>
      </w:r>
    </w:p>
    <w:p>
      <w:pPr>
        <w:ind w:firstLine="720" w:firstLineChars="300"/>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具备《中华人民共和国政府采购法》第二十二条第一款的条件（由供应商在《政府采购投标及履约承诺函》中作出声明）；</w:t>
      </w:r>
    </w:p>
    <w:p>
      <w:pPr>
        <w:ind w:firstLine="720" w:firstLineChars="300"/>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未被列入失信被执行人、重大税收违法案件当事人名单、政府采购严重违法失信行为记录名单（由供应商在《政府采购投标及履约承诺函》中作出声明）。</w:t>
      </w:r>
    </w:p>
    <w:p>
      <w:pPr>
        <w:ind w:firstLine="480" w:firstLineChars="200"/>
        <w:rPr>
          <w:rFonts w:ascii="宋体" w:hAnsi="宋体" w:cs="宋体"/>
          <w:szCs w:val="21"/>
        </w:rPr>
      </w:pPr>
      <w:r>
        <w:rPr>
          <w:rFonts w:ascii="宋体" w:hAnsi="宋体" w:cs="宋体" w:hint="eastAsia"/>
          <w:szCs w:val="21"/>
        </w:rPr>
        <w:t>注：（1）“信用中国”、“中国政府采购网”、“深圳信用网”以及“深圳市政府采购监管网”为供应商信用信息的查询渠道，相关信息以开标当日的查询结果为准；</w:t>
      </w:r>
    </w:p>
    <w:p>
      <w:pPr>
        <w:ind w:firstLine="480" w:firstLineChars="200"/>
        <w:rPr>
          <w:rFonts w:ascii="宋体" w:hAnsi="宋体" w:cs="宋体"/>
          <w:szCs w:val="21"/>
        </w:rPr>
      </w:pPr>
      <w:r>
        <w:rPr>
          <w:rFonts w:ascii="宋体" w:hAnsi="宋体" w:hint="eastAsia"/>
        </w:rPr>
        <w:t>（2</w:t>
      </w:r>
      <w:r>
        <w:rPr>
          <w:rFonts w:ascii="宋体" w:hAnsi="宋体" w:cs="宋体" w:hint="eastAsia"/>
          <w:szCs w:val="21"/>
        </w:rPr>
        <w:t>）供应商投标（上传投标文件）必须先行办理注册手续，具体请按照本公告“六、其他补充事宜”相关内容指引办理。</w:t>
      </w:r>
    </w:p>
    <w:p>
      <w:pPr>
        <w:ind w:firstLine="480" w:firstLineChars="200"/>
        <w:rPr>
          <w:rFonts w:ascii="宋体" w:hAnsi="宋体" w:cs="宋体"/>
          <w:szCs w:val="21"/>
        </w:rPr>
      </w:pPr>
      <w:r>
        <w:rPr>
          <w:rFonts w:ascii="宋体" w:hAnsi="宋体" w:cs="宋体" w:hint="eastAsia"/>
          <w:szCs w:val="21"/>
        </w:rPr>
        <w:t>（3）“重大违法记录”，是指供应商因违法经营受到刑事处罚或者责令停产停业、吊销许可证或者执照、较大数额罚款等行政处罚。“较大数额罚款”一般指达到处罚地举行听证数额的罚款（具体以主管部门意见为准）。供应商作出承诺时务必自行核实，否则经查实将作无效投标处理，并以虚假应标报财政主管部门处理。</w:t>
      </w:r>
    </w:p>
    <w:p>
      <w:pPr>
        <w:pStyle w:val="BodyText"/>
        <w:ind w:firstLine="480" w:firstLineChars="200"/>
      </w:pPr>
      <w:r>
        <w:rPr>
          <w:rFonts w:hint="eastAsia"/>
        </w:rPr>
        <w:t>7.本项目特别事项说明</w:t>
      </w:r>
    </w:p>
    <w:p>
      <w:pPr>
        <w:pStyle w:val="BodyText"/>
        <w:ind w:firstLine="480" w:firstLineChars="200"/>
      </w:pPr>
      <w:r>
        <w:rPr>
          <w:rFonts w:hint="eastAsia"/>
        </w:rPr>
        <w:t>a.本项目将根据综合评分法，选择出优秀的专业供应商承担本项目任务。本项目共分为编号为A、B两个包，投标人必须同时对A、B两个包独立制作投标文件，并对应按A、B包号分别上传投标文件。</w:t>
      </w:r>
    </w:p>
    <w:p>
      <w:pPr>
        <w:pStyle w:val="BodyText"/>
        <w:ind w:firstLine="480" w:firstLineChars="200"/>
      </w:pPr>
      <w:r>
        <w:rPr>
          <w:rFonts w:hint="eastAsia"/>
        </w:rPr>
        <w:t>b.</w:t>
      </w:r>
      <w:r>
        <w:rPr>
          <w:rFonts w:ascii="宋体" w:eastAsia="宋体" w:hAnsi="宋体" w:cs="宋体" w:hint="eastAsia"/>
        </w:rPr>
        <w:t>本项目按</w:t>
      </w:r>
      <w:r>
        <w:rPr>
          <w:rFonts w:hint="eastAsia"/>
        </w:rPr>
        <w:t>A</w:t>
      </w:r>
      <w:r>
        <w:rPr>
          <w:rFonts w:ascii="Times New Roman" w:hAnsi="Times New Roman" w:eastAsiaTheme="minorEastAsia" w:hint="eastAsia"/>
        </w:rPr>
        <w:t>-</w:t>
      </w:r>
      <w:r>
        <w:rPr>
          <w:rFonts w:hint="eastAsia"/>
        </w:rPr>
        <w:t>B</w:t>
      </w:r>
      <w:r>
        <w:rPr>
          <w:rFonts w:ascii="宋体" w:eastAsia="宋体" w:hAnsi="宋体" w:cs="宋体" w:hint="eastAsia"/>
        </w:rPr>
        <w:t>顺序分别进行评审，每个包均取综合得分前三的作为该包的候选中标供应商。所有包号有效投标人均必须达到法定数量（三家或以上），有效投标人未达到法定数量的包号作废标处理。</w:t>
      </w:r>
    </w:p>
    <w:p>
      <w:pPr>
        <w:pStyle w:val="BodyText"/>
        <w:ind w:firstLine="480" w:firstLineChars="200"/>
      </w:pPr>
      <w:r>
        <w:rPr>
          <w:rFonts w:asciiTheme="minorEastAsia" w:eastAsiaTheme="minorEastAsia" w:hAnsiTheme="minorEastAsia" w:hint="eastAsia"/>
        </w:rPr>
        <w:t>c</w:t>
      </w:r>
      <w:r>
        <w:rPr>
          <w:rFonts w:hint="eastAsia"/>
        </w:rPr>
        <w:t>.采购人定标按照包号A至B包的顺序进行定标。</w:t>
      </w:r>
    </w:p>
    <w:p>
      <w:pPr>
        <w:pStyle w:val="NormalIndent"/>
        <w:tabs>
          <w:tab w:val="center" w:pos="4156"/>
        </w:tabs>
        <w:spacing w:before="60" w:beforeLines="25" w:after="60" w:afterLines="25"/>
        <w:ind w:firstLine="480" w:firstLineChars="200"/>
        <w:rPr>
          <w:b/>
          <w:bCs/>
        </w:rPr>
      </w:pPr>
      <w:r>
        <w:rPr>
          <w:b/>
          <w:bCs/>
        </w:rPr>
        <w:t>完整公告内容详见</w:t>
      </w:r>
      <w:r>
        <w:rPr>
          <w:rFonts w:hint="eastAsia"/>
          <w:b/>
          <w:bCs/>
        </w:rPr>
        <w:t>：</w:t>
      </w:r>
      <w:r>
        <w:rPr>
          <w:b/>
          <w:bCs/>
        </w:rPr>
        <w:t>http://zfcg.szggzy.com:8081</w:t>
      </w:r>
    </w:p>
    <w:p/>
    <w:p>
      <w:pPr>
        <w:pStyle w:val="Heading2"/>
        <w:rPr>
          <w:sz w:val="28"/>
          <w:szCs w:val="28"/>
        </w:rPr>
      </w:pPr>
      <w:r>
        <w:rPr>
          <w:rFonts w:hint="eastAsia"/>
          <w:sz w:val="28"/>
          <w:szCs w:val="28"/>
        </w:rPr>
        <w:t>第二章 对通用条款的补充内容及其他关键信息</w:t>
      </w:r>
    </w:p>
    <w:p>
      <w:pPr>
        <w:pStyle w:val="Heading2"/>
        <w:spacing w:before="120" w:beforeLines="50" w:after="120" w:afterLines="50"/>
        <w:rPr>
          <w:sz w:val="28"/>
          <w:szCs w:val="28"/>
        </w:rPr>
      </w:pPr>
      <w:bookmarkStart w:id="19" w:name="_Toc73521547"/>
      <w:bookmarkStart w:id="20" w:name="_Toc73517639"/>
      <w:bookmarkStart w:id="21" w:name="_Toc60560625"/>
      <w:bookmarkStart w:id="22" w:name="_Toc100052364"/>
      <w:bookmarkStart w:id="23" w:name="_Toc73521635"/>
      <w:bookmarkStart w:id="24" w:name="_Toc101074876"/>
      <w:bookmarkStart w:id="25" w:name="_Toc73518117"/>
      <w:bookmarkStart w:id="26" w:name="_Toc60631620"/>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rPr>
            </w:pPr>
            <w:bookmarkEnd w:id="19"/>
            <w:bookmarkEnd w:id="20"/>
            <w:bookmarkEnd w:id="21"/>
            <w:bookmarkEnd w:id="22"/>
            <w:bookmarkEnd w:id="23"/>
            <w:bookmarkEnd w:id="24"/>
            <w:bookmarkEnd w:id="25"/>
            <w:bookmarkEnd w:id="26"/>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pPr>
            <w:r>
              <w:t>南方科技大学坪山生物医药研究院</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深圳公共资源交易中心（深圳交易集团有限公司坪山分公司）</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5</w:t>
            </w:r>
            <w:r>
              <w:rPr>
                <w:rFonts w:ascii="宋体" w:hAnsi="宋体"/>
              </w:rPr>
              <w:t>.3</w:t>
            </w:r>
          </w:p>
        </w:tc>
        <w:tc>
          <w:tcPr>
            <w:tcW w:w="2409" w:type="dxa"/>
            <w:vAlign w:val="center"/>
          </w:tcPr>
          <w:p>
            <w:pPr>
              <w:jc w:val="center"/>
              <w:rPr>
                <w:rFonts w:ascii="宋体" w:hAnsi="宋体"/>
              </w:rPr>
            </w:pPr>
            <w:r>
              <w:rPr>
                <w:rFonts w:ascii="宋体" w:hAnsi="宋体" w:hint="eastAsia"/>
              </w:rPr>
              <w:t>联合体投标</w:t>
            </w:r>
          </w:p>
        </w:tc>
        <w:tc>
          <w:tcPr>
            <w:tcW w:w="4980" w:type="dxa"/>
            <w:vAlign w:val="center"/>
          </w:tcPr>
          <w:p>
            <w:pPr>
              <w:jc w:val="center"/>
              <w:rPr>
                <w:rFonts w:ascii="宋体" w:eastAsia="宋体" w:hAnsi="宋体"/>
              </w:rPr>
            </w:pPr>
            <w:r>
              <w:rPr>
                <w:rFonts w:hint="eastAsia"/>
              </w:rPr>
              <w:t>招标公告中</w:t>
            </w:r>
            <w:r>
              <w:rPr>
                <w:rFonts w:ascii="宋体" w:hAnsi="宋体" w:hint="eastAsia"/>
              </w:rPr>
              <w:t>详见</w:t>
            </w:r>
            <w:r>
              <w:rPr>
                <w:rFonts w:ascii="宋体" w:eastAsia="宋体" w:hAnsi="宋体" w:hint="eastAsia"/>
                <w:kern w:val="2"/>
              </w:rPr>
              <w:t>申请人的资格要求</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jc w:val="center"/>
              <w:rPr>
                <w:rFonts w:ascii="宋体" w:eastAsia="宋体" w:hAnsi="宋体" w:hint="default"/>
                <w:lang w:val="en-US" w:eastAsia="zh-CN"/>
              </w:rPr>
            </w:pPr>
            <w:r>
              <w:rPr>
                <w:rFonts w:ascii="宋体" w:eastAsia="宋体" w:hAnsi="宋体" w:hint="eastAsia"/>
                <w:lang w:val="en-US" w:eastAsia="zh-CN"/>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eastAsia="宋体" w:hAnsi="宋体" w:hint="eastAsia"/>
                <w:sz w:val="21"/>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center"/>
              <w:rPr>
                <w:rFonts w:ascii="宋体" w:hAnsi="宋体"/>
              </w:rPr>
            </w:pPr>
            <w:r>
              <w:rPr>
                <w:rFonts w:ascii="宋体" w:hAnsi="宋体" w:hint="eastAsia"/>
              </w:rPr>
              <w:t>不晚于投标截止日三日前，投标人有义务在招标期间在政府集中采购机构网站浏览与本项目有关的澄清和修改信息</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120个日历日</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27" w:name="_Hlk71664860"/>
            <w:r>
              <w:rPr>
                <w:rFonts w:ascii="宋体" w:hAnsi="宋体" w:hint="eastAsia"/>
              </w:rPr>
              <w:t>样品、现场演示、方案讲解</w:t>
            </w:r>
            <w:bookmarkEnd w:id="27"/>
          </w:p>
        </w:tc>
        <w:tc>
          <w:tcPr>
            <w:tcW w:w="4980" w:type="dxa"/>
            <w:vAlign w:val="center"/>
          </w:tcPr>
          <w:p>
            <w:pPr>
              <w:jc w:val="center"/>
              <w:rPr>
                <w:rFonts w:ascii="宋体" w:hAnsi="宋体"/>
              </w:rPr>
            </w:pPr>
            <w:r>
              <w:rPr>
                <w:rFonts w:ascii="宋体" w:eastAsia="宋体" w:hAnsi="宋体" w:hint="eastAsia"/>
                <w:sz w:val="21"/>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center"/>
              <w:rPr>
                <w:rFonts w:ascii="宋体" w:eastAsia="宋体" w:hAnsi="宋体"/>
              </w:rPr>
            </w:pPr>
            <w:r>
              <w:rPr>
                <w:rFonts w:ascii="宋体" w:hAnsi="宋体" w:hint="eastAsia"/>
              </w:rPr>
              <w:t>综合评分法</w:t>
            </w:r>
            <w:r>
              <w:rPr>
                <w:rFonts w:ascii="宋体" w:eastAsia="宋体" w:hAnsi="宋体" w:hint="eastAsia"/>
              </w:rPr>
              <w:t>(评定分离）</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center"/>
              <w:rPr>
                <w:rFonts w:ascii="宋体" w:eastAsia="宋体" w:hAnsi="宋体"/>
              </w:rPr>
            </w:pPr>
            <w:r>
              <w:rPr>
                <w:rFonts w:ascii="宋体" w:eastAsia="宋体" w:hAnsi="宋体" w:hint="eastAsia"/>
              </w:rPr>
              <w:t>自定法</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eastAsia="宋体" w:hAnsi="宋体"/>
              </w:rPr>
            </w:pPr>
            <w:r>
              <w:rPr>
                <w:rFonts w:ascii="宋体" w:eastAsia="宋体" w:hAnsi="宋体" w:hint="eastAsia"/>
              </w:rPr>
              <w:t>履约担保</w:t>
            </w:r>
          </w:p>
        </w:tc>
        <w:tc>
          <w:tcPr>
            <w:tcW w:w="4980" w:type="dxa"/>
            <w:vAlign w:val="center"/>
          </w:tcPr>
          <w:p>
            <w:pPr>
              <w:jc w:val="center"/>
              <w:rPr>
                <w:rFonts w:ascii="宋体" w:eastAsia="宋体" w:hAnsi="宋体"/>
              </w:rPr>
            </w:pPr>
            <w:r>
              <w:rPr>
                <w:rFonts w:ascii="宋体" w:eastAsia="宋体" w:hAnsi="宋体" w:hint="eastAsia"/>
              </w:rPr>
              <w:t>无</w:t>
            </w:r>
          </w:p>
        </w:tc>
      </w:tr>
    </w:tbl>
    <w:p>
      <w:pPr>
        <w:rPr>
          <w:b/>
        </w:rPr>
      </w:pPr>
      <w:r>
        <w:rPr>
          <w:rFonts w:hint="eastAsia"/>
          <w:szCs w:val="21"/>
        </w:rPr>
        <w:t>备注：本表是通用条款相关条款的补充和明确，如与通用条款内容相冲突的，以本表为准。</w:t>
      </w:r>
    </w:p>
    <w:p>
      <w:pPr>
        <w:rPr>
          <w:b/>
        </w:rPr>
      </w:pPr>
    </w:p>
    <w:p>
      <w:pPr>
        <w:pStyle w:val="Heading2"/>
        <w:spacing w:before="120" w:beforeLines="50" w:after="120" w:afterLines="50"/>
        <w:rPr>
          <w:szCs w:val="24"/>
        </w:rPr>
      </w:pPr>
      <w:r>
        <w:rPr>
          <w:rFonts w:hint="eastAsia"/>
          <w:szCs w:val="24"/>
        </w:rPr>
        <w:t>二、其他关键信息</w:t>
      </w:r>
    </w:p>
    <w:p>
      <w:pPr>
        <w:ind w:firstLine="480" w:firstLineChars="200"/>
        <w:rPr>
          <w:b/>
          <w:bCs/>
        </w:rPr>
      </w:pPr>
      <w:r>
        <w:rPr>
          <w:rFonts w:hint="eastAsia"/>
          <w:b/>
          <w:bCs/>
        </w:rPr>
        <w:t>（一）与“对通用条款的补充内容”章节相关的事项</w:t>
      </w:r>
    </w:p>
    <w:p>
      <w:pPr>
        <w:pStyle w:val="ListParagraph"/>
        <w:numPr>
          <w:ilvl w:val="255"/>
          <w:numId w:val="0"/>
        </w:numPr>
        <w:ind w:left="3360"/>
        <w:rPr>
          <w:b/>
        </w:rPr>
      </w:pPr>
      <w:bookmarkStart w:id="28" w:name="_Hlk72579465"/>
      <w:r>
        <w:rPr>
          <w:rFonts w:hint="eastAsia"/>
          <w:b/>
        </w:rPr>
        <w:t>中标供应商数量信息</w:t>
      </w:r>
    </w:p>
    <w:tbl>
      <w:tblPr>
        <w:tblStyle w:val="TableNormal"/>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center"/>
          </w:tcPr>
          <w:p>
            <w:pPr>
              <w:jc w:val="center"/>
            </w:pPr>
            <w:r>
              <w:rPr>
                <w:rFonts w:hint="eastAsia"/>
                <w:b/>
                <w:bCs/>
              </w:rPr>
              <w:t>中标供应商数量</w:t>
            </w:r>
          </w:p>
        </w:tc>
        <w:tc>
          <w:tcPr>
            <w:tcW w:w="4265" w:type="dxa"/>
            <w:vAlign w:val="center"/>
          </w:tcPr>
          <w:p>
            <w:pPr>
              <w:jc w:val="center"/>
              <w:rPr>
                <w:rFonts w:eastAsia="宋体"/>
              </w:rPr>
            </w:pPr>
            <w:r>
              <w:rPr>
                <w:rFonts w:hint="eastAsia"/>
              </w:rPr>
              <w:t>1家</w:t>
            </w:r>
          </w:p>
        </w:tc>
      </w:tr>
      <w:tr>
        <w:tblPrEx>
          <w:tblW w:w="8529" w:type="dxa"/>
          <w:tblInd w:w="0" w:type="dxa"/>
          <w:tblLayout w:type="fixed"/>
          <w:tblCellMar>
            <w:top w:w="0" w:type="dxa"/>
            <w:left w:w="108" w:type="dxa"/>
            <w:bottom w:w="0" w:type="dxa"/>
            <w:right w:w="108" w:type="dxa"/>
          </w:tblCellMar>
        </w:tblPrEx>
        <w:tc>
          <w:tcPr>
            <w:tcW w:w="4264" w:type="dxa"/>
            <w:vAlign w:val="center"/>
          </w:tcPr>
          <w:p>
            <w:pPr>
              <w:jc w:val="center"/>
            </w:pPr>
            <w:r>
              <w:rPr>
                <w:rFonts w:ascii="宋体" w:hAnsi="宋体" w:hint="eastAsia"/>
                <w:b/>
              </w:rPr>
              <w:t>候选中标供应商数量</w:t>
            </w:r>
          </w:p>
        </w:tc>
        <w:tc>
          <w:tcPr>
            <w:tcW w:w="4265" w:type="dxa"/>
            <w:vAlign w:val="center"/>
          </w:tcPr>
          <w:p>
            <w:pPr>
              <w:jc w:val="center"/>
              <w:rPr>
                <w:rFonts w:eastAsia="宋体"/>
              </w:rPr>
            </w:pPr>
            <w:r>
              <w:rPr>
                <w:rFonts w:hint="eastAsia"/>
              </w:rPr>
              <w:t>3家</w:t>
            </w:r>
          </w:p>
        </w:tc>
      </w:tr>
    </w:tbl>
    <w:p>
      <w:pPr>
        <w:pStyle w:val="ListParagraph"/>
        <w:ind w:left="3823" w:firstLine="0" w:firstLineChars="0"/>
        <w:rPr>
          <w:b/>
        </w:rPr>
      </w:pPr>
    </w:p>
    <w:p>
      <w:pPr>
        <w:rPr>
          <w:rFonts w:ascii="宋体" w:hAnsi="宋体"/>
          <w:b/>
        </w:rPr>
      </w:pPr>
    </w:p>
    <w:p>
      <w:pPr>
        <w:ind w:firstLine="480" w:firstLineChars="200"/>
        <w:rPr>
          <w:b/>
          <w:bCs/>
        </w:rPr>
      </w:pPr>
      <w:bookmarkEnd w:id="28"/>
      <w:r>
        <w:rPr>
          <w:rFonts w:hint="eastAsia"/>
          <w:b/>
        </w:rPr>
        <w:t>（二）其他事项</w:t>
      </w:r>
    </w:p>
    <w:p>
      <w:pPr>
        <w:ind w:firstLine="480" w:firstLineChars="200"/>
      </w:pPr>
      <w:r>
        <w:t>1</w:t>
      </w:r>
      <w:r>
        <w:rPr>
          <w:rFonts w:hint="eastAsia"/>
        </w:rPr>
        <w:t>、关于享受优惠政策的主体及价格扣除比例</w:t>
      </w:r>
    </w:p>
    <w:p>
      <w:pPr>
        <w:ind w:firstLine="480" w:firstLineChars="200"/>
      </w:pPr>
      <w:r>
        <w:rPr>
          <w:rFonts w:hint="eastAsia"/>
        </w:rPr>
        <w:t>（1）投标人提供的服务全部均由优惠主体承接，则对其投标总价给予</w:t>
      </w:r>
      <w:r>
        <w:rPr>
          <w:rFonts w:eastAsia="宋体" w:hint="eastAsia"/>
          <w:color w:val="FF0000"/>
          <w:u w:val="single"/>
        </w:rPr>
        <w:t>10</w:t>
      </w:r>
      <w:r>
        <w:rPr>
          <w:rFonts w:eastAsia="宋体"/>
          <w:color w:val="FF0000"/>
          <w:u w:val="single"/>
        </w:rPr>
        <w:t>%</w:t>
      </w:r>
      <w:r>
        <w:rPr>
          <w:rFonts w:hint="eastAsia"/>
        </w:rPr>
        <w:t>的扣除，用扣除后的价格参与评审。满足多项优惠政策的企业，不重复享受多项价格扣除政策。</w:t>
      </w:r>
    </w:p>
    <w:p>
      <w:pPr>
        <w:ind w:firstLine="48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ind w:firstLine="480" w:firstLineChars="200"/>
        <w:rPr>
          <w:rFonts w:eastAsia="宋体"/>
        </w:rPr>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29" w:name="_Hlk71970739"/>
      <w:r>
        <w:rPr>
          <w:rFonts w:hint="eastAsia"/>
        </w:rPr>
        <w:t>本项目</w:t>
      </w:r>
      <w:bookmarkStart w:id="30" w:name="_Hlk71924718"/>
      <w:r>
        <w:rPr>
          <w:rFonts w:hint="eastAsia"/>
        </w:rPr>
        <w:t>采购标的（服务需求）对应的中小企业划分标准所属行业</w:t>
      </w:r>
      <w:bookmarkEnd w:id="30"/>
      <w:r>
        <w:rPr>
          <w:rFonts w:hint="eastAsia"/>
        </w:rPr>
        <w:t>为</w:t>
      </w:r>
      <w:bookmarkEnd w:id="29"/>
      <w:r>
        <w:rPr>
          <w:rFonts w:eastAsia="宋体" w:hint="eastAsia"/>
          <w:color w:val="FF0000"/>
        </w:rPr>
        <w:t>生物医药</w:t>
      </w:r>
      <w:r>
        <w:rPr>
          <w:rFonts w:hint="eastAsia"/>
        </w:rPr>
        <w:t>。</w:t>
      </w:r>
    </w:p>
    <w:p>
      <w:pPr>
        <w:ind w:firstLine="48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pPr>
        <w:ind w:firstLine="480" w:firstLineChars="200"/>
      </w:pPr>
      <w:r>
        <w:rPr>
          <w:rFonts w:hint="eastAsia"/>
        </w:rPr>
        <w:t>（4）享受价格扣除获得政府采购合同的，小微企业不得将合同分包给大中型企业。</w:t>
      </w:r>
    </w:p>
    <w:p>
      <w:pPr>
        <w:rPr>
          <w:rFonts w:ascii="宋体" w:hAnsi="宋体"/>
          <w:b/>
          <w:szCs w:val="21"/>
        </w:rPr>
      </w:pPr>
      <w:r>
        <w:rPr>
          <w:rFonts w:hint="eastAsia"/>
        </w:rPr>
        <w:t xml:space="preserve">    </w:t>
      </w:r>
      <w:r>
        <w:rPr>
          <w:rFonts w:ascii="宋体" w:hAnsi="宋体" w:hint="eastAsia"/>
          <w:b/>
          <w:szCs w:val="21"/>
        </w:rPr>
        <w:t>（</w:t>
      </w:r>
      <w:r>
        <w:rPr>
          <w:rFonts w:ascii="宋体" w:eastAsia="宋体" w:hAnsi="宋体" w:hint="eastAsia"/>
          <w:b/>
          <w:szCs w:val="21"/>
          <w:lang w:val="en-US" w:eastAsia="zh-CN"/>
        </w:rPr>
        <w:t>5</w:t>
      </w:r>
      <w:r>
        <w:rPr>
          <w:rFonts w:ascii="宋体" w:hAnsi="宋体" w:hint="eastAsia"/>
          <w:b/>
          <w:szCs w:val="21"/>
        </w:rPr>
        <w:t>）关于不可偏离条款的说明</w:t>
      </w:r>
    </w:p>
    <w:p>
      <w:pPr>
        <w:ind w:firstLine="470" w:firstLineChars="196"/>
      </w:pPr>
      <w:r>
        <w:rPr>
          <w:rFonts w:hint="eastAsia"/>
        </w:rPr>
        <w:t>招标文件中带“★”指标项为不可偏离条款，如出现负偏离，将被视为未实质性满足招标文件要求作投标无效处理。</w:t>
      </w:r>
    </w:p>
    <w:p>
      <w:pPr>
        <w:ind w:firstLine="470" w:firstLineChars="196"/>
      </w:pPr>
      <w:r>
        <w:rPr>
          <w:rFonts w:hint="eastAsia"/>
        </w:rPr>
        <w:t>招标文件中所有涉及“▲”（或其他符号）的条款均为非不可偏离条款，仅作为综合评分时的重要依据。</w:t>
      </w:r>
    </w:p>
    <w:p>
      <w:pPr>
        <w:pStyle w:val="BodyText"/>
      </w:pPr>
    </w:p>
    <w:p>
      <w:pPr>
        <w:rPr>
          <w:b/>
        </w:rPr>
      </w:pPr>
    </w:p>
    <w:p>
      <w:pPr>
        <w:rPr>
          <w:b/>
        </w:rPr>
      </w:pPr>
    </w:p>
    <w:p>
      <w:pPr>
        <w:pStyle w:val="Heading2"/>
        <w:rPr>
          <w:sz w:val="28"/>
          <w:szCs w:val="28"/>
        </w:rPr>
      </w:pPr>
      <w:bookmarkStart w:id="31" w:name="_Toc128884461"/>
      <w:r>
        <w:rPr>
          <w:rFonts w:hint="eastAsia"/>
          <w:sz w:val="28"/>
          <w:szCs w:val="28"/>
        </w:rPr>
        <w:t>第三章 用户需求书</w:t>
      </w:r>
    </w:p>
    <w:p>
      <w:pPr>
        <w:snapToGrid w:val="0"/>
        <w:spacing w:line="360" w:lineRule="auto"/>
        <w:jc w:val="center"/>
        <w:outlineLvl w:val="1"/>
        <w:rPr>
          <w:rFonts w:ascii="宋体" w:hAnsi="宋体" w:cs="宋体"/>
          <w:sz w:val="30"/>
          <w:szCs w:val="30"/>
        </w:rPr>
      </w:pPr>
      <w:bookmarkEnd w:id="31"/>
      <w:r>
        <w:rPr>
          <w:rFonts w:eastAsia="宋体" w:hint="eastAsia"/>
        </w:rPr>
        <w:t>一、项目基本信息</w:t>
      </w:r>
    </w:p>
    <w:p>
      <w:pPr>
        <w:rPr>
          <w:rFonts w:ascii="宋体" w:hAnsi="宋体"/>
          <w:b/>
          <w:color w:val="FF0000"/>
          <w:szCs w:val="21"/>
        </w:rPr>
      </w:pPr>
    </w:p>
    <w:tbl>
      <w:tblPr>
        <w:tblStyle w:val="TableNormal"/>
        <w:tblpPr w:leftFromText="180" w:rightFromText="180" w:vertAnchor="text" w:horzAnchor="margin" w:tblpY="173"/>
        <w:tblW w:w="89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2688"/>
        <w:gridCol w:w="3260"/>
        <w:gridCol w:w="2587"/>
      </w:tblGrid>
      <w:tr>
        <w:tblPrEx>
          <w:tblW w:w="89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jc w:val="center"/>
              <w:rPr>
                <w:bCs/>
                <w:szCs w:val="21"/>
              </w:rPr>
            </w:pPr>
            <w:r>
              <w:rPr>
                <w:rFonts w:hint="eastAsia"/>
                <w:bCs/>
                <w:szCs w:val="21"/>
              </w:rPr>
              <w:t>序号</w:t>
            </w:r>
          </w:p>
        </w:tc>
        <w:tc>
          <w:tcPr>
            <w:tcW w:w="2688" w:type="dxa"/>
            <w:vAlign w:val="center"/>
          </w:tcPr>
          <w:p>
            <w:pPr>
              <w:jc w:val="center"/>
              <w:rPr>
                <w:bCs/>
                <w:szCs w:val="21"/>
              </w:rPr>
            </w:pPr>
            <w:r>
              <w:rPr>
                <w:rFonts w:hint="eastAsia"/>
                <w:szCs w:val="21"/>
              </w:rPr>
              <w:t>采购计划编号</w:t>
            </w:r>
          </w:p>
        </w:tc>
        <w:tc>
          <w:tcPr>
            <w:tcW w:w="3260" w:type="dxa"/>
            <w:vAlign w:val="center"/>
          </w:tcPr>
          <w:p>
            <w:pPr>
              <w:jc w:val="center"/>
              <w:rPr>
                <w:bCs/>
                <w:szCs w:val="21"/>
              </w:rPr>
            </w:pPr>
            <w:r>
              <w:rPr>
                <w:rFonts w:hint="eastAsia"/>
                <w:bCs/>
                <w:szCs w:val="21"/>
              </w:rPr>
              <w:t>采购项目名称</w:t>
            </w:r>
          </w:p>
        </w:tc>
        <w:tc>
          <w:tcPr>
            <w:tcW w:w="2587" w:type="dxa"/>
            <w:vAlign w:val="center"/>
          </w:tcPr>
          <w:p>
            <w:pPr>
              <w:jc w:val="center"/>
              <w:rPr>
                <w:b/>
                <w:bCs/>
                <w:color w:val="FF0000"/>
                <w:szCs w:val="21"/>
              </w:rPr>
            </w:pPr>
            <w:r>
              <w:rPr>
                <w:rFonts w:hint="eastAsia"/>
                <w:bCs/>
                <w:szCs w:val="21"/>
              </w:rPr>
              <w:t>预算限额（元）</w:t>
            </w:r>
          </w:p>
        </w:tc>
      </w:tr>
      <w:tr>
        <w:tblPrEx>
          <w:tblW w:w="8961" w:type="dxa"/>
          <w:tblInd w:w="0" w:type="dxa"/>
          <w:tblLayout w:type="fixed"/>
          <w:tblCellMar>
            <w:top w:w="0" w:type="dxa"/>
            <w:left w:w="108" w:type="dxa"/>
            <w:bottom w:w="0" w:type="dxa"/>
            <w:right w:w="108" w:type="dxa"/>
          </w:tblCellMar>
        </w:tblPrEx>
        <w:trPr>
          <w:trHeight w:val="290"/>
        </w:trPr>
        <w:tc>
          <w:tcPr>
            <w:tcW w:w="426" w:type="dxa"/>
            <w:vAlign w:val="center"/>
          </w:tcPr>
          <w:p>
            <w:pPr>
              <w:rPr>
                <w:bCs/>
                <w:szCs w:val="21"/>
              </w:rPr>
            </w:pPr>
            <w:r>
              <w:rPr>
                <w:rFonts w:hint="eastAsia"/>
                <w:bCs/>
                <w:szCs w:val="21"/>
              </w:rPr>
              <w:t>1</w:t>
            </w:r>
          </w:p>
        </w:tc>
        <w:tc>
          <w:tcPr>
            <w:tcW w:w="2688" w:type="dxa"/>
            <w:vAlign w:val="center"/>
          </w:tcPr>
          <w:p>
            <w:pPr>
              <w:rPr>
                <w:bCs/>
                <w:szCs w:val="21"/>
              </w:rPr>
            </w:pPr>
            <w:r>
              <w:rPr>
                <w:bCs/>
                <w:szCs w:val="21"/>
              </w:rPr>
              <w:t>ZXBZ20224403100093</w:t>
            </w:r>
          </w:p>
        </w:tc>
        <w:tc>
          <w:tcPr>
            <w:tcW w:w="3260" w:type="dxa"/>
            <w:vAlign w:val="center"/>
          </w:tcPr>
          <w:p>
            <w:pPr>
              <w:rPr>
                <w:bCs/>
                <w:szCs w:val="21"/>
              </w:rPr>
            </w:pPr>
            <w:r>
              <w:rPr>
                <w:rFonts w:ascii="宋体" w:hAnsi="宋体" w:cs="宋体" w:hint="eastAsia"/>
                <w:sz w:val="30"/>
                <w:szCs w:val="30"/>
              </w:rPr>
              <w:t>南方科技大学坪山生物医药研究院抗新冠口服药ATV014小分子药物临床研究(IND)技术服务</w:t>
            </w:r>
          </w:p>
        </w:tc>
        <w:tc>
          <w:tcPr>
            <w:tcW w:w="2587" w:type="dxa"/>
            <w:vAlign w:val="center"/>
          </w:tcPr>
          <w:p>
            <w:pPr>
              <w:rPr>
                <w:bCs/>
                <w:szCs w:val="21"/>
              </w:rPr>
            </w:pPr>
            <w:r>
              <w:rPr>
                <w:rFonts w:hint="eastAsia"/>
                <w:bCs/>
                <w:szCs w:val="21"/>
              </w:rPr>
              <w:t>13,500,000.00</w:t>
            </w:r>
          </w:p>
        </w:tc>
      </w:tr>
    </w:tbl>
    <w:p>
      <w:pPr>
        <w:rPr>
          <w:rFonts w:asciiTheme="minorEastAsia" w:eastAsiaTheme="minorEastAsia" w:hAnsiTheme="minorEastAsia" w:cstheme="minorEastAsia"/>
          <w:sz w:val="18"/>
          <w:szCs w:val="18"/>
        </w:rPr>
      </w:pPr>
    </w:p>
    <w:p>
      <w:pPr>
        <w:pStyle w:val="Heading2"/>
        <w:jc w:val="left"/>
        <w:rPr>
          <w:rFonts w:ascii="宋体" w:eastAsia="宋体" w:hAnsi="宋体"/>
          <w:sz w:val="21"/>
          <w:szCs w:val="21"/>
        </w:rPr>
      </w:pPr>
      <w:r>
        <w:rPr>
          <w:rFonts w:ascii="宋体" w:eastAsia="宋体" w:hAnsi="宋体" w:hint="eastAsia"/>
          <w:sz w:val="21"/>
          <w:szCs w:val="21"/>
        </w:rPr>
        <w:t>二、实质性条款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1"/>
        </w:trPr>
        <w:tc>
          <w:tcPr>
            <w:tcW w:w="705" w:type="dxa"/>
          </w:tcPr>
          <w:p>
            <w:pPr>
              <w:spacing w:line="360" w:lineRule="auto"/>
              <w:jc w:val="center"/>
              <w:rPr>
                <w:bCs/>
                <w:szCs w:val="21"/>
              </w:rPr>
            </w:pPr>
            <w:r>
              <w:rPr>
                <w:rFonts w:hint="eastAsia"/>
                <w:bCs/>
                <w:szCs w:val="21"/>
              </w:rPr>
              <w:t>序号</w:t>
            </w:r>
          </w:p>
        </w:tc>
        <w:tc>
          <w:tcPr>
            <w:tcW w:w="7483" w:type="dxa"/>
          </w:tcPr>
          <w:p>
            <w:pPr>
              <w:spacing w:line="360" w:lineRule="auto"/>
              <w:rPr>
                <w:bCs/>
                <w:szCs w:val="21"/>
              </w:rPr>
            </w:pPr>
            <w:r>
              <w:rPr>
                <w:rFonts w:hint="eastAsia"/>
                <w:bCs/>
                <w:szCs w:val="21"/>
              </w:rPr>
              <w:t>具体内容</w:t>
            </w:r>
          </w:p>
        </w:tc>
      </w:tr>
      <w:tr>
        <w:tblPrEx>
          <w:tblW w:w="8188" w:type="dxa"/>
          <w:tblInd w:w="0" w:type="dxa"/>
          <w:tblLayout w:type="fixed"/>
          <w:tblCellMar>
            <w:top w:w="0" w:type="dxa"/>
            <w:left w:w="108" w:type="dxa"/>
            <w:bottom w:w="0" w:type="dxa"/>
            <w:right w:w="108" w:type="dxa"/>
          </w:tblCellMar>
        </w:tblPrEx>
        <w:trPr>
          <w:trHeight w:val="560"/>
        </w:trPr>
        <w:tc>
          <w:tcPr>
            <w:tcW w:w="705" w:type="dxa"/>
            <w:vAlign w:val="center"/>
          </w:tcPr>
          <w:p>
            <w:pPr>
              <w:spacing w:line="360" w:lineRule="auto"/>
              <w:jc w:val="center"/>
              <w:rPr>
                <w:bCs/>
                <w:szCs w:val="21"/>
              </w:rPr>
            </w:pPr>
            <w:r>
              <w:rPr>
                <w:rFonts w:hint="eastAsia"/>
                <w:bCs/>
                <w:szCs w:val="21"/>
              </w:rPr>
              <w:t>1</w:t>
            </w:r>
          </w:p>
        </w:tc>
        <w:tc>
          <w:tcPr>
            <w:tcW w:w="7483" w:type="dxa"/>
            <w:vAlign w:val="center"/>
          </w:tcPr>
          <w:p>
            <w:pPr>
              <w:ind w:firstLine="480" w:firstLineChars="200"/>
              <w:rPr>
                <w:bCs/>
                <w:szCs w:val="21"/>
              </w:rPr>
            </w:pPr>
            <w:r>
              <w:rPr>
                <w:rFonts w:ascii="宋体" w:eastAsia="宋体" w:hAnsi="宋体" w:hint="eastAsia"/>
                <w:szCs w:val="21"/>
              </w:rPr>
              <w:t>★</w:t>
            </w:r>
            <w:r>
              <w:rPr>
                <w:rFonts w:ascii="宋体" w:hAnsi="宋体" w:hint="eastAsia"/>
                <w:szCs w:val="21"/>
              </w:rPr>
              <w:t>（四）项目采购范围</w:t>
            </w:r>
          </w:p>
        </w:tc>
      </w:tr>
    </w:tbl>
    <w:p>
      <w:pPr>
        <w:rPr>
          <w:rFonts w:ascii="宋体" w:hAnsi="宋体"/>
          <w:szCs w:val="21"/>
        </w:rPr>
      </w:pPr>
      <w:r>
        <w:rPr>
          <w:rFonts w:ascii="宋体" w:hAnsi="宋体" w:hint="eastAsia"/>
          <w:szCs w:val="21"/>
        </w:rPr>
        <w:t>注：上表所列内容为不可负偏离条款。</w:t>
      </w:r>
    </w:p>
    <w:p>
      <w:pPr>
        <w:rPr>
          <w:rFonts w:ascii="宋体" w:hAnsi="宋体"/>
          <w:b/>
          <w:szCs w:val="21"/>
        </w:rPr>
      </w:pPr>
    </w:p>
    <w:p>
      <w:pPr>
        <w:pStyle w:val="Heading2"/>
        <w:jc w:val="left"/>
        <w:rPr>
          <w:rFonts w:ascii="宋体" w:eastAsia="宋体" w:hAnsi="宋体"/>
          <w:sz w:val="21"/>
          <w:szCs w:val="21"/>
        </w:rPr>
      </w:pPr>
      <w:r>
        <w:rPr>
          <w:rFonts w:ascii="宋体" w:eastAsia="宋体" w:hAnsi="宋体" w:hint="eastAsia"/>
          <w:sz w:val="21"/>
          <w:szCs w:val="21"/>
        </w:rPr>
        <w:t>三、项目情况介绍</w:t>
      </w:r>
    </w:p>
    <w:p>
      <w:pPr>
        <w:ind w:firstLine="480" w:firstLineChars="200"/>
        <w:rPr>
          <w:rFonts w:ascii="宋体" w:hAnsi="宋体"/>
          <w:szCs w:val="21"/>
        </w:rPr>
      </w:pPr>
      <w:r>
        <w:rPr>
          <w:rFonts w:ascii="宋体" w:hAnsi="宋体" w:hint="eastAsia"/>
          <w:szCs w:val="21"/>
        </w:rPr>
        <w:t>（一）介绍项目的背景及项目整体情况</w:t>
      </w:r>
    </w:p>
    <w:p>
      <w:pPr>
        <w:ind w:firstLine="480" w:firstLineChars="200"/>
      </w:pPr>
      <w:r>
        <w:rPr>
          <w:rFonts w:ascii="宋体" w:eastAsia="宋体" w:hAnsi="宋体" w:cs="宋体" w:hint="eastAsia"/>
        </w:rPr>
        <w:t>新型冠状病毒引起的全球大流行截至目前已累计感染超过</w:t>
      </w:r>
      <w:r>
        <w:t>3</w:t>
      </w:r>
      <w:r>
        <w:rPr>
          <w:rFonts w:ascii="宋体" w:eastAsia="宋体" w:hAnsi="宋体" w:cs="宋体" w:hint="eastAsia"/>
        </w:rPr>
        <w:t>亿人，死亡人数超过</w:t>
      </w:r>
      <w:r>
        <w:rPr>
          <w:rFonts w:hint="eastAsia"/>
        </w:rPr>
        <w:t>5</w:t>
      </w:r>
      <w:r>
        <w:t>00</w:t>
      </w:r>
      <w:r>
        <w:rPr>
          <w:rFonts w:ascii="宋体" w:eastAsia="宋体" w:hAnsi="宋体" w:cs="宋体" w:hint="eastAsia"/>
        </w:rPr>
        <w:t>万人，而且疫情仍在持续蔓延。新冠病毒快速变异，传染性大幅度增强，导致疫苗预防感染</w:t>
      </w:r>
      <w:r>
        <w:rPr>
          <w:rFonts w:hint="eastAsia"/>
        </w:rPr>
        <w:t xml:space="preserve"> COVID-19 </w:t>
      </w:r>
      <w:r>
        <w:rPr>
          <w:rFonts w:ascii="宋体" w:eastAsia="宋体" w:hAnsi="宋体" w:cs="宋体" w:hint="eastAsia"/>
        </w:rPr>
        <w:t>保护力降低，给新冠病毒的防治带来了前所未有的挑战。根据国际国内共识，在新冠病毒感染的早期阶段尽快开展抗病毒治疗是非常必要的。因此，靶向病毒的化学药物，特别是口服化学药物，是防控新冠病毒药物研发与评价的重点。开发有国内自主知识产权的、安全有效的口服抗新冠病毒小分子药物迫在眉睫。采购人科研团队前期建设了完善的新冠药物筛选评价平台，设计合成了一系列靶向新冠病毒</w:t>
      </w:r>
      <w:r>
        <w:rPr>
          <w:rFonts w:hint="eastAsia"/>
        </w:rPr>
        <w:t xml:space="preserve">RdRp </w:t>
      </w:r>
      <w:r>
        <w:rPr>
          <w:rFonts w:ascii="宋体" w:eastAsia="宋体" w:hAnsi="宋体" w:cs="宋体" w:hint="eastAsia"/>
        </w:rPr>
        <w:t>的核苷类似物，并从中筛选获得了抗病毒效果更佳、口服生物利用度高的新型抗新冠病毒候选药物。作为疫情应急药物，本项目将开展候选抗新冠药物</w:t>
      </w:r>
      <w:r>
        <w:rPr>
          <w:rFonts w:hint="eastAsia"/>
        </w:rPr>
        <w:t>ATV014</w:t>
      </w:r>
      <w:r>
        <w:rPr>
          <w:rFonts w:ascii="宋体" w:eastAsia="宋体" w:hAnsi="宋体" w:cs="宋体" w:hint="eastAsia"/>
        </w:rPr>
        <w:t>的临床前研究及中美</w:t>
      </w:r>
      <w:r>
        <w:rPr>
          <w:rFonts w:hint="eastAsia"/>
        </w:rPr>
        <w:t>IND</w:t>
      </w:r>
      <w:r>
        <w:rPr>
          <w:rFonts w:ascii="宋体" w:eastAsia="宋体" w:hAnsi="宋体" w:cs="宋体" w:hint="eastAsia"/>
        </w:rPr>
        <w:t>注册申报，项目的顺利实施将为抗击当前的新型冠状病毒疫情和治疗未来冠状病毒感染性疾病提供有效的治疗药物，为病毒性疾病防控和提高人民健康水平做贡献。</w:t>
      </w:r>
    </w:p>
    <w:p>
      <w:pPr>
        <w:ind w:firstLine="480" w:firstLineChars="200"/>
        <w:rPr>
          <w:rFonts w:ascii="宋体" w:hAnsi="宋体"/>
          <w:szCs w:val="21"/>
        </w:rPr>
      </w:pPr>
      <w:r>
        <w:rPr>
          <w:rFonts w:ascii="宋体" w:hAnsi="宋体" w:hint="eastAsia"/>
          <w:szCs w:val="21"/>
        </w:rPr>
        <w:t>（二）项目目的及建设目标</w:t>
      </w:r>
    </w:p>
    <w:p>
      <w:pPr>
        <w:ind w:firstLine="480" w:firstLineChars="200"/>
        <w:rPr>
          <w:rFonts w:ascii="宋体" w:hAnsi="宋体"/>
          <w:szCs w:val="21"/>
        </w:rPr>
      </w:pPr>
      <w:r>
        <w:rPr>
          <w:rFonts w:ascii="宋体" w:hAnsi="宋体" w:hint="eastAsia"/>
          <w:szCs w:val="21"/>
        </w:rPr>
        <w:t>完成中美IND申报所需的研究，进行该项目注册申报手续的办理并递交IND申报，直至项目获得当局审批。</w:t>
      </w:r>
    </w:p>
    <w:p>
      <w:pPr>
        <w:ind w:firstLine="480" w:firstLineChars="200"/>
        <w:rPr>
          <w:rFonts w:ascii="宋体" w:hAnsi="宋体"/>
          <w:szCs w:val="21"/>
        </w:rPr>
      </w:pPr>
      <w:r>
        <w:rPr>
          <w:rFonts w:ascii="宋体" w:hAnsi="宋体" w:hint="eastAsia"/>
          <w:szCs w:val="21"/>
        </w:rPr>
        <w:t>（三）项目所依据及参考的标准</w:t>
      </w:r>
    </w:p>
    <w:p>
      <w:pPr>
        <w:ind w:firstLine="480" w:firstLineChars="200"/>
        <w:rPr>
          <w:rFonts w:ascii="宋体" w:hAnsi="宋体"/>
          <w:szCs w:val="21"/>
        </w:rPr>
      </w:pPr>
      <w:r>
        <w:rPr>
          <w:rFonts w:ascii="宋体" w:hAnsi="宋体" w:hint="eastAsia"/>
          <w:szCs w:val="21"/>
        </w:rPr>
        <w:t>中国NMPA和美国FDA新药临床研究（IND）申报相关要求。</w:t>
      </w:r>
    </w:p>
    <w:p>
      <w:pPr>
        <w:ind w:firstLine="480" w:firstLineChars="200"/>
        <w:rPr>
          <w:rFonts w:ascii="宋体" w:hAnsi="宋体"/>
          <w:szCs w:val="21"/>
        </w:rPr>
      </w:pPr>
      <w:r>
        <w:rPr>
          <w:rFonts w:ascii="宋体" w:eastAsia="宋体" w:hAnsi="宋体" w:hint="eastAsia"/>
          <w:szCs w:val="21"/>
        </w:rPr>
        <w:t>★</w:t>
      </w:r>
      <w:r>
        <w:rPr>
          <w:rFonts w:ascii="宋体" w:hAnsi="宋体" w:hint="eastAsia"/>
          <w:szCs w:val="21"/>
        </w:rPr>
        <w:t>（四）项目采购范围</w:t>
      </w:r>
    </w:p>
    <w:p>
      <w:pPr>
        <w:spacing w:after="120" w:afterLines="50"/>
        <w:ind w:firstLine="480" w:firstLineChars="200"/>
        <w:rPr>
          <w:rFonts w:ascii="宋体" w:hAnsi="宋体"/>
          <w:szCs w:val="21"/>
        </w:rPr>
      </w:pPr>
      <w:r>
        <w:rPr>
          <w:rFonts w:ascii="宋体" w:hAnsi="宋体" w:hint="eastAsia"/>
          <w:szCs w:val="21"/>
        </w:rPr>
        <w:t>申报中国NMPA和美国FDA新药临床研究（IND）项目的相关工作，包括原料药工艺开发和生产、制剂开发和生产、药代动力学研究与安全评价、中国NMPA和美国FDA注册及项目执行期间的项目管理。具体工作内容见下表：</w:t>
      </w:r>
    </w:p>
    <w:tbl>
      <w:tblPr>
        <w:tblStyle w:val="TableGrid"/>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70"/>
        <w:gridCol w:w="5319"/>
      </w:tblGrid>
      <w:tr>
        <w:tblPrEx>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8"/>
          <w:jc w:val="center"/>
        </w:trPr>
        <w:tc>
          <w:tcPr>
            <w:tcW w:w="2670" w:type="dxa"/>
          </w:tcPr>
          <w:p>
            <w:pPr>
              <w:pStyle w:val="ListParagraph"/>
              <w:ind w:firstLine="480"/>
              <w:jc w:val="center"/>
              <w:rPr>
                <w:rFonts w:ascii="微软雅黑" w:eastAsia="微软雅黑" w:hAnsi="微软雅黑"/>
                <w:bCs/>
              </w:rPr>
            </w:pPr>
            <w:r>
              <w:rPr>
                <w:rFonts w:ascii="微软雅黑" w:eastAsia="微软雅黑" w:hAnsi="微软雅黑" w:hint="eastAsia"/>
                <w:bCs/>
              </w:rPr>
              <w:t>项目</w:t>
            </w:r>
          </w:p>
        </w:tc>
        <w:tc>
          <w:tcPr>
            <w:tcW w:w="5319" w:type="dxa"/>
          </w:tcPr>
          <w:p>
            <w:pPr>
              <w:pStyle w:val="ListParagraph"/>
              <w:ind w:firstLine="480"/>
              <w:jc w:val="center"/>
              <w:rPr>
                <w:rFonts w:ascii="微软雅黑" w:eastAsia="微软雅黑" w:hAnsi="微软雅黑"/>
                <w:bCs/>
              </w:rPr>
            </w:pPr>
            <w:r>
              <w:rPr>
                <w:rFonts w:ascii="微软雅黑" w:eastAsia="微软雅黑" w:hAnsi="微软雅黑" w:hint="eastAsia"/>
                <w:bCs/>
              </w:rPr>
              <w:t>工作内容</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color w:val="FF0000"/>
                <w:highlight w:val="yellow"/>
              </w:rPr>
            </w:pPr>
            <w:r>
              <w:rPr>
                <w:rFonts w:ascii="宋体" w:eastAsia="微软雅黑" w:hAnsi="宋体" w:hint="eastAsia"/>
              </w:rPr>
              <w:t>工艺研究及生产</w:t>
            </w:r>
          </w:p>
        </w:tc>
        <w:tc>
          <w:tcPr>
            <w:tcW w:w="5319" w:type="dxa"/>
            <w:vAlign w:val="center"/>
          </w:tcPr>
          <w:p>
            <w:pPr>
              <w:pStyle w:val="ListParagraph"/>
              <w:ind w:firstLine="0" w:firstLineChars="0"/>
              <w:rPr>
                <w:rFonts w:ascii="宋体" w:hAnsi="宋体"/>
                <w:b/>
                <w:color w:val="FF0000"/>
              </w:rPr>
            </w:pPr>
            <w:r>
              <w:rPr>
                <w:rFonts w:ascii="宋体" w:hAnsi="宋体" w:hint="eastAsia"/>
              </w:rPr>
              <w:t>完成工艺开发、工艺优化；原料药、中间体的方法学开发与验证；原料药的生产等。</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rPr>
            </w:pPr>
            <w:r>
              <w:rPr>
                <w:rFonts w:ascii="宋体" w:eastAsia="微软雅黑" w:hAnsi="宋体"/>
              </w:rPr>
              <w:t>制剂研究和样品生产</w:t>
            </w:r>
          </w:p>
        </w:tc>
        <w:tc>
          <w:tcPr>
            <w:tcW w:w="5319" w:type="dxa"/>
            <w:vAlign w:val="center"/>
          </w:tcPr>
          <w:p>
            <w:pPr>
              <w:pStyle w:val="ListParagraph"/>
              <w:ind w:firstLine="0" w:firstLineChars="0"/>
              <w:rPr>
                <w:rFonts w:ascii="宋体" w:hAnsi="宋体"/>
              </w:rPr>
            </w:pPr>
            <w:r>
              <w:rPr>
                <w:rFonts w:ascii="宋体" w:hAnsi="宋体" w:hint="eastAsia"/>
              </w:rPr>
              <w:t>自毒理批</w:t>
            </w:r>
            <w:r>
              <w:rPr>
                <w:rFonts w:ascii="宋体" w:hAnsi="宋体"/>
              </w:rPr>
              <w:t>API</w:t>
            </w:r>
            <w:r>
              <w:rPr>
                <w:rFonts w:ascii="宋体" w:hAnsi="宋体" w:hint="eastAsia"/>
              </w:rPr>
              <w:t>放行后启动制剂研究，包括处方前研究、剂型和工艺研究、分析方法开发、工艺开发支持、制剂样品的生产等。</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rPr>
            </w:pPr>
            <w:r>
              <w:rPr>
                <w:rFonts w:ascii="宋体" w:eastAsia="微软雅黑" w:hAnsi="宋体"/>
              </w:rPr>
              <w:t>临床前药代和安全评价</w:t>
            </w:r>
          </w:p>
        </w:tc>
        <w:tc>
          <w:tcPr>
            <w:tcW w:w="5319" w:type="dxa"/>
            <w:vAlign w:val="center"/>
          </w:tcPr>
          <w:p>
            <w:pPr>
              <w:pStyle w:val="ListParagraph"/>
              <w:ind w:firstLine="0" w:firstLineChars="0"/>
              <w:rPr>
                <w:rFonts w:ascii="宋体" w:hAnsi="宋体"/>
              </w:rPr>
            </w:pPr>
            <w:r>
              <w:rPr>
                <w:rFonts w:ascii="宋体" w:hAnsi="宋体" w:hint="eastAsia"/>
              </w:rPr>
              <w:t>自毒理批</w:t>
            </w:r>
            <w:r>
              <w:rPr>
                <w:rFonts w:ascii="宋体" w:hAnsi="宋体"/>
              </w:rPr>
              <w:t>API</w:t>
            </w:r>
            <w:r>
              <w:rPr>
                <w:rFonts w:ascii="宋体" w:hAnsi="宋体" w:hint="eastAsia"/>
              </w:rPr>
              <w:t>放行后一定时间内完成符合规定的临床前体外ADME、体内药代动力学、安全评价等所有实验。</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rPr>
            </w:pPr>
            <w:r>
              <w:rPr>
                <w:rFonts w:ascii="宋体" w:eastAsia="微软雅黑" w:hAnsi="宋体"/>
              </w:rPr>
              <w:t>NMPA</w:t>
            </w:r>
            <w:r>
              <w:rPr>
                <w:rFonts w:ascii="宋体" w:eastAsia="微软雅黑" w:hAnsi="宋体" w:hint="eastAsia"/>
              </w:rPr>
              <w:t>和FDA</w:t>
            </w:r>
            <w:r>
              <w:rPr>
                <w:rFonts w:ascii="宋体" w:eastAsia="微软雅黑" w:hAnsi="宋体"/>
              </w:rPr>
              <w:t>注册</w:t>
            </w:r>
          </w:p>
        </w:tc>
        <w:tc>
          <w:tcPr>
            <w:tcW w:w="5319" w:type="dxa"/>
            <w:vAlign w:val="center"/>
          </w:tcPr>
          <w:p>
            <w:pPr>
              <w:pStyle w:val="ListParagraph"/>
              <w:ind w:firstLine="0" w:firstLineChars="0"/>
              <w:rPr>
                <w:rFonts w:ascii="宋体" w:hAnsi="宋体"/>
              </w:rPr>
            </w:pPr>
            <w:r>
              <w:rPr>
                <w:rFonts w:ascii="宋体" w:hAnsi="宋体" w:hint="eastAsia"/>
              </w:rPr>
              <w:t>按照相关法规要求和内容格式，配合采购人项目计划进行申报，包括申报资料的准备（撰写、整理、修订及定稿）及注册手续的办理。</w:t>
            </w:r>
          </w:p>
        </w:tc>
      </w:tr>
      <w:tr>
        <w:tblPrEx>
          <w:tblW w:w="7989" w:type="dxa"/>
          <w:jc w:val="center"/>
          <w:tblLayout w:type="fixed"/>
          <w:tblCellMar>
            <w:top w:w="0" w:type="dxa"/>
            <w:left w:w="108" w:type="dxa"/>
            <w:bottom w:w="0" w:type="dxa"/>
            <w:right w:w="108" w:type="dxa"/>
          </w:tblCellMar>
        </w:tblPrEx>
        <w:trPr>
          <w:trHeight w:val="617"/>
          <w:jc w:val="center"/>
        </w:trPr>
        <w:tc>
          <w:tcPr>
            <w:tcW w:w="2670" w:type="dxa"/>
            <w:vAlign w:val="center"/>
          </w:tcPr>
          <w:p>
            <w:pPr>
              <w:spacing w:after="120" w:afterLines="50"/>
              <w:rPr>
                <w:rFonts w:ascii="宋体" w:hAnsi="宋体"/>
              </w:rPr>
            </w:pPr>
            <w:r>
              <w:rPr>
                <w:rFonts w:ascii="宋体" w:eastAsia="微软雅黑" w:hAnsi="宋体" w:hint="eastAsia"/>
              </w:rPr>
              <w:t>项目管理</w:t>
            </w:r>
          </w:p>
        </w:tc>
        <w:tc>
          <w:tcPr>
            <w:tcW w:w="5319" w:type="dxa"/>
            <w:vAlign w:val="center"/>
          </w:tcPr>
          <w:p>
            <w:pPr>
              <w:spacing w:after="120" w:afterLines="50"/>
              <w:rPr>
                <w:rFonts w:ascii="宋体" w:hAnsi="宋体"/>
              </w:rPr>
            </w:pPr>
            <w:r>
              <w:rPr>
                <w:rFonts w:ascii="宋体" w:hAnsi="宋体" w:hint="eastAsia"/>
              </w:rPr>
              <w:t>提供项目执行期间的项目管理服务。</w:t>
            </w:r>
          </w:p>
        </w:tc>
      </w:tr>
    </w:tbl>
    <w:p>
      <w:pPr>
        <w:spacing w:before="120" w:beforeLines="50"/>
        <w:ind w:firstLine="480" w:firstLineChars="200"/>
        <w:rPr>
          <w:rFonts w:ascii="宋体" w:hAnsi="宋体"/>
          <w:szCs w:val="21"/>
        </w:rPr>
      </w:pPr>
      <w:r>
        <w:rPr>
          <w:rFonts w:ascii="宋体" w:hAnsi="宋体" w:hint="eastAsia"/>
          <w:szCs w:val="21"/>
        </w:rPr>
        <w:t>（五）项目合同服务期</w:t>
      </w:r>
    </w:p>
    <w:p>
      <w:pPr>
        <w:ind w:firstLine="480" w:firstLineChars="200"/>
        <w:rPr>
          <w:rFonts w:ascii="宋体" w:hAnsi="宋体"/>
          <w:szCs w:val="21"/>
        </w:rPr>
      </w:pPr>
      <w:r>
        <w:rPr>
          <w:rFonts w:ascii="宋体" w:hAnsi="宋体" w:hint="eastAsia"/>
          <w:szCs w:val="21"/>
        </w:rPr>
        <w:t>合同服务期：本项目合同签订生效之日起至本项目实施并验收合格后截止。</w:t>
      </w:r>
    </w:p>
    <w:p>
      <w:pPr>
        <w:ind w:firstLine="480" w:firstLineChars="200"/>
        <w:rPr>
          <w:rFonts w:ascii="宋体" w:hAnsi="宋体"/>
          <w:szCs w:val="21"/>
        </w:rPr>
      </w:pPr>
      <w:r>
        <w:rPr>
          <w:rFonts w:ascii="宋体" w:hAnsi="宋体" w:hint="eastAsia"/>
          <w:szCs w:val="21"/>
        </w:rPr>
        <w:t>（六）关于现场核查</w:t>
      </w:r>
    </w:p>
    <w:p>
      <w:pPr>
        <w:ind w:firstLine="480" w:firstLineChars="200"/>
        <w:rPr>
          <w:rFonts w:ascii="宋体" w:hAnsi="宋体"/>
          <w:szCs w:val="21"/>
        </w:rPr>
      </w:pPr>
      <w:r>
        <w:rPr>
          <w:rFonts w:ascii="宋体" w:hAnsi="宋体" w:hint="eastAsia"/>
          <w:szCs w:val="21"/>
        </w:rPr>
        <w:t>根据本项目需要，投标方需接受采购人的现场审查。</w:t>
      </w:r>
    </w:p>
    <w:p>
      <w:pPr>
        <w:ind w:firstLine="480" w:firstLineChars="200"/>
        <w:rPr>
          <w:rFonts w:ascii="宋体" w:hAnsi="宋体"/>
          <w:szCs w:val="21"/>
        </w:rPr>
      </w:pPr>
      <w:bookmarkStart w:id="32" w:name="_GoBack"/>
      <w:bookmarkEnd w:id="32"/>
    </w:p>
    <w:p>
      <w:pPr>
        <w:pStyle w:val="Heading2"/>
        <w:jc w:val="left"/>
        <w:rPr>
          <w:rFonts w:ascii="宋体" w:eastAsia="宋体" w:hAnsi="宋体"/>
          <w:sz w:val="21"/>
          <w:szCs w:val="21"/>
        </w:rPr>
      </w:pPr>
      <w:r>
        <w:rPr>
          <w:rFonts w:ascii="宋体" w:eastAsia="宋体" w:hAnsi="宋体" w:hint="eastAsia"/>
          <w:sz w:val="21"/>
          <w:szCs w:val="21"/>
        </w:rPr>
        <w:t>四、项目技术及管理要求</w:t>
      </w:r>
    </w:p>
    <w:p>
      <w:pPr>
        <w:pStyle w:val="NormalIndent"/>
        <w:rPr>
          <w:rFonts w:ascii="宋体" w:hAnsi="宋体"/>
          <w:color w:val="000000"/>
          <w:szCs w:val="21"/>
        </w:rPr>
      </w:pPr>
      <w:r>
        <w:rPr>
          <w:rFonts w:ascii="宋体" w:hAnsi="宋体" w:hint="eastAsia"/>
          <w:color w:val="000000"/>
          <w:szCs w:val="21"/>
        </w:rPr>
        <w:t>（一）按照中美I</w:t>
      </w:r>
      <w:r>
        <w:rPr>
          <w:rFonts w:ascii="宋体" w:hAnsi="宋体"/>
          <w:color w:val="000000"/>
          <w:szCs w:val="21"/>
        </w:rPr>
        <w:t>ND</w:t>
      </w:r>
      <w:r>
        <w:rPr>
          <w:rFonts w:ascii="宋体" w:hAnsi="宋体" w:hint="eastAsia"/>
          <w:color w:val="000000"/>
          <w:szCs w:val="21"/>
        </w:rPr>
        <w:t>申报要求提供完整的项目技术开发计划；</w:t>
      </w:r>
    </w:p>
    <w:p>
      <w:pPr>
        <w:pStyle w:val="NormalIndent"/>
        <w:rPr>
          <w:rFonts w:ascii="宋体" w:hAnsi="宋体"/>
          <w:color w:val="000000"/>
          <w:szCs w:val="21"/>
        </w:rPr>
      </w:pPr>
      <w:r>
        <w:rPr>
          <w:rFonts w:ascii="宋体" w:hAnsi="宋体" w:hint="eastAsia"/>
          <w:szCs w:val="21"/>
        </w:rPr>
        <w:t>（二）</w:t>
      </w:r>
      <w:r>
        <w:rPr>
          <w:rFonts w:ascii="宋体" w:hAnsi="宋体" w:hint="eastAsia"/>
          <w:color w:val="000000"/>
          <w:szCs w:val="21"/>
        </w:rPr>
        <w:t>提供项目进度表；</w:t>
      </w:r>
    </w:p>
    <w:p>
      <w:pPr>
        <w:pStyle w:val="NormalIndent"/>
        <w:rPr>
          <w:rFonts w:ascii="宋体" w:hAnsi="宋体"/>
          <w:color w:val="000000"/>
          <w:szCs w:val="21"/>
        </w:rPr>
      </w:pPr>
      <w:r>
        <w:rPr>
          <w:rFonts w:ascii="宋体" w:hAnsi="宋体" w:hint="eastAsia"/>
          <w:szCs w:val="21"/>
        </w:rPr>
        <w:t>（三）提供专业的项目管理团队及成员；</w:t>
      </w:r>
    </w:p>
    <w:p>
      <w:pPr>
        <w:pStyle w:val="NormalIndent"/>
        <w:rPr>
          <w:rFonts w:ascii="宋体" w:hAnsi="宋体"/>
          <w:color w:val="000000"/>
          <w:szCs w:val="21"/>
        </w:rPr>
      </w:pPr>
      <w:r>
        <w:rPr>
          <w:rFonts w:ascii="宋体" w:hAnsi="宋体" w:hint="eastAsia"/>
          <w:color w:val="000000"/>
          <w:szCs w:val="21"/>
        </w:rPr>
        <w:t>（四）项目验收要求</w:t>
      </w:r>
    </w:p>
    <w:p>
      <w:pPr>
        <w:pStyle w:val="NormalIndent"/>
        <w:ind w:firstLine="720" w:firstLineChars="300"/>
        <w:rPr>
          <w:rFonts w:ascii="宋体" w:hAnsi="宋体"/>
          <w:szCs w:val="21"/>
          <w:highlight w:val="yellow"/>
        </w:rPr>
      </w:pPr>
      <w:r>
        <w:rPr>
          <w:rFonts w:ascii="宋体" w:hAnsi="宋体" w:hint="eastAsia"/>
          <w:szCs w:val="21"/>
        </w:rPr>
        <w:t>撰写符合中美IND要求的注册资料，完成注册申报并获得I</w:t>
      </w:r>
      <w:r>
        <w:rPr>
          <w:rFonts w:ascii="宋体" w:hAnsi="宋体"/>
          <w:szCs w:val="21"/>
        </w:rPr>
        <w:t>ND</w:t>
      </w:r>
      <w:r>
        <w:rPr>
          <w:rFonts w:ascii="宋体" w:hAnsi="宋体" w:hint="eastAsia"/>
          <w:szCs w:val="21"/>
        </w:rPr>
        <w:t>申请批准文件。</w:t>
      </w:r>
    </w:p>
    <w:p>
      <w:pPr>
        <w:pStyle w:val="NormalIndent"/>
        <w:rPr>
          <w:rFonts w:ascii="宋体" w:hAnsi="宋体"/>
          <w:szCs w:val="21"/>
        </w:rPr>
      </w:pPr>
    </w:p>
    <w:p>
      <w:pPr>
        <w:pStyle w:val="Heading2"/>
        <w:jc w:val="left"/>
        <w:rPr>
          <w:rFonts w:ascii="宋体" w:eastAsia="宋体" w:hAnsi="宋体"/>
          <w:sz w:val="21"/>
          <w:szCs w:val="21"/>
        </w:rPr>
      </w:pPr>
      <w:r>
        <w:rPr>
          <w:rFonts w:ascii="宋体" w:eastAsia="宋体" w:hAnsi="宋体" w:hint="eastAsia"/>
          <w:sz w:val="21"/>
          <w:szCs w:val="21"/>
        </w:rPr>
        <w:t>五、项目商务要求</w:t>
      </w:r>
    </w:p>
    <w:p>
      <w:pPr>
        <w:pStyle w:val="NormalIndent"/>
        <w:ind w:firstLine="422"/>
        <w:rPr>
          <w:rFonts w:ascii="宋体" w:hAnsi="宋体"/>
          <w:b/>
          <w:color w:val="000000"/>
          <w:szCs w:val="21"/>
        </w:rPr>
      </w:pPr>
      <w:r>
        <w:rPr>
          <w:rFonts w:ascii="宋体" w:hAnsi="宋体" w:hint="eastAsia"/>
          <w:b/>
          <w:color w:val="000000"/>
          <w:szCs w:val="21"/>
        </w:rPr>
        <w:t>（一）报价要求及付款方式：</w:t>
      </w:r>
    </w:p>
    <w:p>
      <w:pPr>
        <w:pStyle w:val="NormalIndent"/>
        <w:rPr>
          <w:rFonts w:ascii="宋体" w:hAnsi="宋体"/>
          <w:color w:val="000000"/>
          <w:szCs w:val="21"/>
        </w:rPr>
      </w:pPr>
      <w:r>
        <w:rPr>
          <w:rFonts w:ascii="宋体" w:hAnsi="宋体" w:hint="eastAsia"/>
          <w:color w:val="000000"/>
          <w:szCs w:val="21"/>
        </w:rPr>
        <w:t>1、本项目预算金额为人民币</w:t>
      </w:r>
      <w:r>
        <w:rPr>
          <w:rFonts w:ascii="宋体" w:hAnsi="宋体"/>
          <w:color w:val="000000"/>
          <w:szCs w:val="21"/>
          <w:u w:val="single"/>
        </w:rPr>
        <w:t xml:space="preserve"> 1350</w:t>
      </w:r>
      <w:r>
        <w:rPr>
          <w:rFonts w:ascii="宋体" w:hAnsi="宋体" w:hint="eastAsia"/>
          <w:color w:val="000000"/>
          <w:szCs w:val="21"/>
          <w:u w:val="single"/>
        </w:rPr>
        <w:t>万</w:t>
      </w:r>
      <w:r>
        <w:rPr>
          <w:rFonts w:ascii="宋体" w:hAnsi="宋体"/>
          <w:color w:val="000000"/>
          <w:szCs w:val="21"/>
          <w:u w:val="single"/>
        </w:rPr>
        <w:t xml:space="preserve"> </w:t>
      </w:r>
      <w:r>
        <w:rPr>
          <w:rFonts w:ascii="宋体" w:hAnsi="宋体" w:hint="eastAsia"/>
          <w:color w:val="000000"/>
          <w:szCs w:val="21"/>
        </w:rPr>
        <w:t>元(大写:壹仟叁佰伍拾万元整)，</w:t>
      </w:r>
      <w:r>
        <w:rPr>
          <w:rFonts w:ascii="宋体" w:hAnsi="宋体"/>
          <w:szCs w:val="21"/>
        </w:rPr>
        <w:t>最高投标限价</w:t>
      </w:r>
      <w:r>
        <w:rPr>
          <w:rFonts w:ascii="宋体" w:hAnsi="宋体" w:hint="eastAsia"/>
          <w:szCs w:val="21"/>
          <w:u w:val="single"/>
        </w:rPr>
        <w:t>_</w:t>
      </w:r>
      <w:r>
        <w:rPr>
          <w:rFonts w:ascii="宋体" w:hAnsi="宋体"/>
          <w:szCs w:val="21"/>
          <w:u w:val="single"/>
        </w:rPr>
        <w:t>1350</w:t>
      </w:r>
      <w:r>
        <w:rPr>
          <w:rFonts w:ascii="宋体" w:hAnsi="宋体" w:hint="eastAsia"/>
          <w:szCs w:val="21"/>
          <w:u w:val="single"/>
        </w:rPr>
        <w:t>万元_</w:t>
      </w:r>
      <w:r>
        <w:rPr>
          <w:rFonts w:ascii="宋体" w:hAnsi="宋体" w:hint="eastAsia"/>
          <w:color w:val="000000"/>
          <w:szCs w:val="21"/>
        </w:rPr>
        <w:t>，本项目预算金额对应的服务期限为：</w:t>
      </w:r>
      <w:r>
        <w:rPr>
          <w:rFonts w:ascii="宋体" w:hAnsi="宋体" w:hint="eastAsia"/>
          <w:szCs w:val="21"/>
        </w:rPr>
        <w:t>本项目合同签订生效之日起至本项目实施并验收合格后截止。</w:t>
      </w:r>
    </w:p>
    <w:p>
      <w:pPr>
        <w:pStyle w:val="NormalIndent"/>
        <w:rPr>
          <w:rFonts w:ascii="宋体" w:hAnsi="宋体"/>
          <w:color w:val="000000"/>
          <w:szCs w:val="21"/>
        </w:rPr>
      </w:pPr>
      <w:r>
        <w:rPr>
          <w:rFonts w:ascii="宋体" w:hAnsi="宋体" w:hint="eastAsia"/>
          <w:color w:val="000000"/>
          <w:szCs w:val="21"/>
        </w:rPr>
        <w:t>2、付款方式及条件</w:t>
      </w:r>
    </w:p>
    <w:p>
      <w:pPr>
        <w:pStyle w:val="NormalIndent"/>
        <w:rPr>
          <w:rFonts w:ascii="宋体" w:hAnsi="宋体"/>
          <w:color w:val="000000"/>
          <w:szCs w:val="21"/>
        </w:rPr>
      </w:pPr>
      <w:r>
        <w:rPr>
          <w:rFonts w:ascii="宋体" w:hAnsi="宋体" w:hint="eastAsia"/>
          <w:color w:val="000000"/>
          <w:szCs w:val="21"/>
        </w:rPr>
        <w:t>按照约定，根据项目里程碑阶段性付款。</w:t>
      </w:r>
    </w:p>
    <w:p>
      <w:pPr>
        <w:pStyle w:val="NormalIndent"/>
        <w:rPr>
          <w:rFonts w:ascii="宋体" w:hAnsi="宋体"/>
          <w:color w:val="000000"/>
          <w:szCs w:val="21"/>
        </w:rPr>
      </w:pPr>
      <w:r>
        <w:rPr>
          <w:rFonts w:ascii="宋体" w:hAnsi="宋体" w:hint="eastAsia"/>
          <w:color w:val="000000"/>
          <w:szCs w:val="21"/>
        </w:rPr>
        <w:t>阶段一：协议签订后，中标方开具发票，采购人应于收到发票之日起10个工作日内，向中标方支付</w:t>
      </w:r>
      <w:r>
        <w:rPr>
          <w:rFonts w:ascii="宋体" w:hAnsi="宋体" w:hint="eastAsia"/>
          <w:b/>
          <w:bCs/>
          <w:color w:val="000000"/>
          <w:szCs w:val="21"/>
        </w:rPr>
        <w:t>3</w:t>
      </w:r>
      <w:r>
        <w:rPr>
          <w:rFonts w:ascii="宋体" w:hAnsi="宋体"/>
          <w:b/>
          <w:bCs/>
          <w:color w:val="000000"/>
          <w:szCs w:val="21"/>
        </w:rPr>
        <w:t>0</w:t>
      </w:r>
      <w:r>
        <w:rPr>
          <w:rFonts w:ascii="宋体" w:hAnsi="宋体" w:hint="eastAsia"/>
          <w:b/>
          <w:bCs/>
          <w:color w:val="000000"/>
          <w:szCs w:val="21"/>
        </w:rPr>
        <w:t>%</w:t>
      </w:r>
      <w:r>
        <w:rPr>
          <w:rFonts w:ascii="宋体" w:hAnsi="宋体" w:hint="eastAsia"/>
          <w:color w:val="000000"/>
          <w:szCs w:val="21"/>
        </w:rPr>
        <w:t xml:space="preserve">预付款； </w:t>
      </w:r>
    </w:p>
    <w:p>
      <w:pPr>
        <w:pStyle w:val="NormalIndent"/>
        <w:rPr>
          <w:rFonts w:ascii="宋体" w:hAnsi="宋体"/>
          <w:color w:val="000000"/>
          <w:szCs w:val="21"/>
        </w:rPr>
      </w:pPr>
      <w:r>
        <w:rPr>
          <w:rFonts w:ascii="宋体" w:hAnsi="宋体" w:hint="eastAsia"/>
          <w:color w:val="000000"/>
          <w:szCs w:val="21"/>
        </w:rPr>
        <w:t>阶段二：完成GMP原料药放行、制剂工艺及分析方法开发后、向采购人提供书面报告，经采购人对中标方阶段工作验收合格后，中标方向采购人开具发票，采购人收到发票后10个工作日内向中标方支付</w:t>
      </w:r>
      <w:r>
        <w:rPr>
          <w:rFonts w:ascii="宋体" w:hAnsi="宋体" w:hint="eastAsia"/>
          <w:b/>
          <w:bCs/>
          <w:color w:val="000000"/>
          <w:szCs w:val="21"/>
        </w:rPr>
        <w:t>1</w:t>
      </w:r>
      <w:r>
        <w:rPr>
          <w:rFonts w:ascii="宋体" w:hAnsi="宋体"/>
          <w:b/>
          <w:bCs/>
          <w:color w:val="000000"/>
          <w:szCs w:val="21"/>
        </w:rPr>
        <w:t>5</w:t>
      </w:r>
      <w:r>
        <w:rPr>
          <w:rFonts w:ascii="宋体" w:hAnsi="宋体" w:hint="eastAsia"/>
          <w:b/>
          <w:bCs/>
          <w:color w:val="000000"/>
          <w:szCs w:val="21"/>
        </w:rPr>
        <w:t>%</w:t>
      </w:r>
      <w:r>
        <w:rPr>
          <w:rFonts w:ascii="宋体" w:hAnsi="宋体" w:hint="eastAsia"/>
          <w:color w:val="000000"/>
          <w:szCs w:val="21"/>
        </w:rPr>
        <w:t>第二阶段期费用；</w:t>
      </w:r>
    </w:p>
    <w:p>
      <w:pPr>
        <w:pStyle w:val="NormalIndent"/>
        <w:rPr>
          <w:rFonts w:ascii="宋体" w:hAnsi="宋体"/>
          <w:color w:val="000000"/>
          <w:szCs w:val="21"/>
        </w:rPr>
      </w:pPr>
      <w:r>
        <w:rPr>
          <w:rFonts w:ascii="宋体" w:hAnsi="宋体" w:hint="eastAsia"/>
          <w:color w:val="000000"/>
          <w:szCs w:val="21"/>
        </w:rPr>
        <w:t>阶段三：完成制剂生产、提供原料药和制剂申报资料后，经采购人对中标方阶段工作验收合格后，中标方向采购人开具发票，采购人收到发票后10个工作日内向中标方支付</w:t>
      </w:r>
      <w:r>
        <w:rPr>
          <w:rFonts w:ascii="宋体" w:hAnsi="宋体"/>
          <w:b/>
          <w:bCs/>
          <w:color w:val="000000"/>
          <w:szCs w:val="21"/>
        </w:rPr>
        <w:t>8</w:t>
      </w:r>
      <w:r>
        <w:rPr>
          <w:rFonts w:ascii="宋体" w:hAnsi="宋体" w:hint="eastAsia"/>
          <w:b/>
          <w:bCs/>
          <w:color w:val="000000"/>
          <w:szCs w:val="21"/>
        </w:rPr>
        <w:t>%</w:t>
      </w:r>
      <w:r>
        <w:rPr>
          <w:rFonts w:ascii="宋体" w:hAnsi="宋体" w:hint="eastAsia"/>
          <w:color w:val="000000"/>
          <w:szCs w:val="21"/>
        </w:rPr>
        <w:t>第三阶段期费用；</w:t>
      </w:r>
    </w:p>
    <w:p>
      <w:pPr>
        <w:pStyle w:val="NormalIndent"/>
        <w:rPr>
          <w:rFonts w:ascii="宋体" w:hAnsi="宋体"/>
          <w:color w:val="000000"/>
          <w:szCs w:val="21"/>
        </w:rPr>
      </w:pPr>
      <w:r>
        <w:rPr>
          <w:rFonts w:ascii="宋体" w:hAnsi="宋体" w:hint="eastAsia"/>
          <w:color w:val="000000"/>
          <w:szCs w:val="21"/>
        </w:rPr>
        <w:t>阶段四：完成毒理实验、并提供报告初稿，经采购人对中标方阶段工作验收合格后，中标方向采购人开具发票，采购人收到发票后10个工作日内向中标方支付</w:t>
      </w:r>
      <w:r>
        <w:rPr>
          <w:rFonts w:ascii="宋体" w:hAnsi="宋体"/>
          <w:b/>
          <w:bCs/>
          <w:color w:val="000000"/>
          <w:szCs w:val="21"/>
        </w:rPr>
        <w:t>25</w:t>
      </w:r>
      <w:r>
        <w:rPr>
          <w:rFonts w:ascii="宋体" w:hAnsi="宋体" w:hint="eastAsia"/>
          <w:b/>
          <w:bCs/>
          <w:color w:val="000000"/>
          <w:szCs w:val="21"/>
        </w:rPr>
        <w:t>%</w:t>
      </w:r>
      <w:r>
        <w:rPr>
          <w:rFonts w:ascii="宋体" w:hAnsi="宋体" w:hint="eastAsia"/>
          <w:color w:val="000000"/>
          <w:szCs w:val="21"/>
        </w:rPr>
        <w:t>第四阶段期费用；</w:t>
      </w:r>
    </w:p>
    <w:p>
      <w:pPr>
        <w:pStyle w:val="NormalIndent"/>
        <w:rPr>
          <w:rFonts w:ascii="宋体" w:hAnsi="宋体"/>
          <w:color w:val="000000"/>
          <w:szCs w:val="21"/>
        </w:rPr>
      </w:pPr>
      <w:r>
        <w:rPr>
          <w:rFonts w:ascii="宋体" w:hAnsi="宋体" w:hint="eastAsia"/>
          <w:color w:val="000000"/>
          <w:szCs w:val="21"/>
        </w:rPr>
        <w:t>阶段五：提供毒理实验报告终稿，NMPA注册工作启动，经采购人对中标方阶段工作验收合格后，中标方向采购人开具发票，采购人收到发票后10个工作日内向中标方支付</w:t>
      </w:r>
      <w:r>
        <w:rPr>
          <w:rFonts w:ascii="宋体" w:hAnsi="宋体"/>
          <w:b/>
          <w:bCs/>
          <w:color w:val="000000"/>
          <w:szCs w:val="21"/>
        </w:rPr>
        <w:t>8</w:t>
      </w:r>
      <w:r>
        <w:rPr>
          <w:rFonts w:ascii="宋体" w:hAnsi="宋体" w:hint="eastAsia"/>
          <w:b/>
          <w:bCs/>
          <w:color w:val="000000"/>
          <w:szCs w:val="21"/>
        </w:rPr>
        <w:t>%</w:t>
      </w:r>
      <w:r>
        <w:rPr>
          <w:rFonts w:ascii="宋体" w:hAnsi="宋体" w:hint="eastAsia"/>
          <w:color w:val="000000"/>
          <w:szCs w:val="21"/>
        </w:rPr>
        <w:t>第五阶段期费用；</w:t>
      </w:r>
    </w:p>
    <w:p>
      <w:pPr>
        <w:pStyle w:val="NormalIndent"/>
        <w:rPr>
          <w:rFonts w:ascii="宋体" w:hAnsi="宋体"/>
          <w:color w:val="000000"/>
          <w:szCs w:val="21"/>
        </w:rPr>
      </w:pPr>
      <w:r>
        <w:rPr>
          <w:rFonts w:ascii="宋体" w:hAnsi="宋体" w:hint="eastAsia"/>
          <w:color w:val="000000"/>
          <w:szCs w:val="21"/>
        </w:rPr>
        <w:t>阶段六：在本协议签订后一定时间内中标方完成申报资料撰写，向NMPA递交IND申报资料，经采购人对中标方阶段工作验收合格后，中标方向采购人开具发票，采购人收到发票后10个工作日内向中标方支付</w:t>
      </w:r>
      <w:r>
        <w:rPr>
          <w:rFonts w:ascii="宋体" w:hAnsi="宋体"/>
          <w:b/>
          <w:bCs/>
          <w:color w:val="000000"/>
          <w:szCs w:val="21"/>
        </w:rPr>
        <w:t>8</w:t>
      </w:r>
      <w:r>
        <w:rPr>
          <w:rFonts w:ascii="宋体" w:hAnsi="宋体" w:hint="eastAsia"/>
          <w:b/>
          <w:bCs/>
          <w:color w:val="000000"/>
          <w:szCs w:val="21"/>
        </w:rPr>
        <w:t>%</w:t>
      </w:r>
      <w:r>
        <w:rPr>
          <w:rFonts w:ascii="宋体" w:hAnsi="宋体" w:hint="eastAsia"/>
          <w:color w:val="000000"/>
          <w:szCs w:val="21"/>
        </w:rPr>
        <w:t>第六阶段期费用；</w:t>
      </w:r>
    </w:p>
    <w:p>
      <w:pPr>
        <w:pStyle w:val="NormalIndent"/>
        <w:rPr>
          <w:rFonts w:ascii="宋体" w:hAnsi="宋体"/>
          <w:color w:val="000000"/>
          <w:szCs w:val="21"/>
        </w:rPr>
      </w:pPr>
      <w:r>
        <w:rPr>
          <w:rFonts w:ascii="宋体" w:hAnsi="宋体" w:hint="eastAsia"/>
          <w:color w:val="000000"/>
          <w:szCs w:val="21"/>
        </w:rPr>
        <w:t>阶段七：在本协议签订后一定时间内中标方完成向FDA递交IND申报资料，经采购人对中标方阶段工作验收合格后，中标方向采购人开具发票，采购人收到发票后10个工作日内向中标方支付</w:t>
      </w:r>
      <w:r>
        <w:rPr>
          <w:rFonts w:ascii="宋体" w:hAnsi="宋体"/>
          <w:b/>
          <w:bCs/>
          <w:color w:val="000000"/>
          <w:szCs w:val="21"/>
        </w:rPr>
        <w:t>5</w:t>
      </w:r>
      <w:r>
        <w:rPr>
          <w:rFonts w:ascii="宋体" w:hAnsi="宋体" w:hint="eastAsia"/>
          <w:b/>
          <w:bCs/>
          <w:color w:val="000000"/>
          <w:szCs w:val="21"/>
        </w:rPr>
        <w:t>%</w:t>
      </w:r>
      <w:r>
        <w:rPr>
          <w:rFonts w:ascii="宋体" w:hAnsi="宋体" w:hint="eastAsia"/>
          <w:color w:val="000000"/>
          <w:szCs w:val="21"/>
        </w:rPr>
        <w:t>第七阶段期费用；</w:t>
      </w:r>
    </w:p>
    <w:p>
      <w:pPr>
        <w:pStyle w:val="NormalIndent"/>
        <w:rPr>
          <w:rFonts w:ascii="宋体" w:hAnsi="宋体"/>
          <w:color w:val="000000"/>
          <w:szCs w:val="21"/>
          <w:highlight w:val="yellow"/>
        </w:rPr>
      </w:pPr>
      <w:r>
        <w:rPr>
          <w:rFonts w:ascii="宋体" w:hAnsi="宋体" w:hint="eastAsia"/>
          <w:color w:val="000000"/>
          <w:szCs w:val="21"/>
        </w:rPr>
        <w:t>阶段八：在本协议签订后一定时间内中标方完成稳定性研究并提供报告，经采购人对中标方阶段工作验收合格后，中标方向采购人开具发票，采购人收到发票后10个工作日内向中标方支付</w:t>
      </w:r>
      <w:r>
        <w:rPr>
          <w:rFonts w:ascii="宋体" w:hAnsi="宋体"/>
          <w:b/>
          <w:bCs/>
          <w:color w:val="000000"/>
          <w:szCs w:val="21"/>
        </w:rPr>
        <w:t>1</w:t>
      </w:r>
      <w:r>
        <w:rPr>
          <w:rFonts w:ascii="宋体" w:hAnsi="宋体" w:hint="eastAsia"/>
          <w:b/>
          <w:bCs/>
          <w:color w:val="000000"/>
          <w:szCs w:val="21"/>
        </w:rPr>
        <w:t>%</w:t>
      </w:r>
      <w:r>
        <w:rPr>
          <w:rFonts w:ascii="宋体" w:hAnsi="宋体" w:hint="eastAsia"/>
          <w:color w:val="000000"/>
          <w:szCs w:val="21"/>
        </w:rPr>
        <w:t>第八阶段期费用。</w:t>
      </w:r>
    </w:p>
    <w:p>
      <w:pPr>
        <w:pStyle w:val="NormalIndent"/>
        <w:spacing w:before="120" w:beforeLines="50"/>
        <w:ind w:firstLine="422"/>
        <w:rPr>
          <w:rFonts w:ascii="宋体" w:hAnsi="宋体"/>
          <w:b/>
          <w:color w:val="000000"/>
          <w:szCs w:val="21"/>
        </w:rPr>
      </w:pPr>
      <w:r>
        <w:rPr>
          <w:rFonts w:ascii="宋体" w:hAnsi="宋体" w:hint="eastAsia"/>
          <w:b/>
          <w:color w:val="000000"/>
          <w:szCs w:val="21"/>
        </w:rPr>
        <w:t>（二）投标报价构成</w:t>
      </w:r>
    </w:p>
    <w:p>
      <w:pPr>
        <w:ind w:firstLine="480" w:firstLineChars="200"/>
        <w:rPr>
          <w:rFonts w:ascii="宋体" w:hAnsi="宋体"/>
          <w:szCs w:val="21"/>
        </w:rPr>
      </w:pPr>
      <w:r>
        <w:rPr>
          <w:rFonts w:ascii="宋体" w:hAnsi="宋体" w:hint="eastAsia"/>
          <w:szCs w:val="21"/>
        </w:rPr>
        <w:t>1、本项目服务费采用包干制，应包括服务成本、法定税费和企业的利润、保险经纪费等运营过程中产生的一切费用。由企业根据招标文件所提供的资料自行测算投标报价；一经中标，投标报价总价作为中标单位与采购人签定的合同金额，合同期限内不做调整。</w:t>
      </w:r>
    </w:p>
    <w:p>
      <w:pPr>
        <w:ind w:firstLine="480" w:firstLineChars="200"/>
        <w:rPr>
          <w:rFonts w:ascii="宋体" w:hAnsi="宋体"/>
          <w:szCs w:val="21"/>
        </w:rPr>
      </w:pPr>
      <w:r>
        <w:rPr>
          <w:rFonts w:ascii="宋体" w:hAnsi="宋体"/>
          <w:szCs w:val="21"/>
        </w:rPr>
        <w:t>2</w:t>
      </w:r>
      <w:r>
        <w:rPr>
          <w:rFonts w:ascii="宋体" w:hAnsi="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供应商可通过现场提交、电邮提交提供报价合理性说明。</w:t>
      </w:r>
    </w:p>
    <w:p>
      <w:pPr>
        <w:ind w:firstLine="480" w:firstLineChars="200"/>
        <w:rPr>
          <w:rFonts w:ascii="宋体" w:hAnsi="宋体"/>
          <w:szCs w:val="21"/>
        </w:rPr>
      </w:pPr>
      <w:r>
        <w:rPr>
          <w:rFonts w:ascii="宋体" w:hAnsi="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pPr>
        <w:ind w:firstLine="480" w:firstLineChars="200"/>
        <w:rPr>
          <w:rFonts w:ascii="宋体" w:hAnsi="宋体"/>
          <w:szCs w:val="21"/>
        </w:rPr>
      </w:pPr>
      <w:r>
        <w:rPr>
          <w:rFonts w:ascii="宋体" w:hAnsi="宋体"/>
          <w:szCs w:val="21"/>
        </w:rPr>
        <w:t>4</w:t>
      </w:r>
      <w:r>
        <w:rPr>
          <w:rFonts w:ascii="宋体" w:hAnsi="宋体" w:hint="eastAsia"/>
          <w:szCs w:val="21"/>
        </w:rPr>
        <w:t>、除非政府集中采购机构通过修改招标文件予以更正，否则，投标人应毫无例外地按招在实施后，将不得以支付，并视作该项费用已包括在其它有价款的综合单价或总价内。</w:t>
      </w:r>
    </w:p>
    <w:p>
      <w:pPr>
        <w:ind w:firstLine="480" w:firstLineChars="200"/>
        <w:rPr>
          <w:rFonts w:ascii="宋体" w:hAnsi="宋体"/>
          <w:szCs w:val="21"/>
        </w:rPr>
      </w:pPr>
      <w:r>
        <w:rPr>
          <w:rFonts w:ascii="宋体" w:hAnsi="宋体" w:hint="eastAsia"/>
          <w:szCs w:val="21"/>
        </w:rPr>
        <w:t>5、投标人应充分了解项目的位置、情况、道路及任何其它足以影响投标报价的情况，任何因忽视或误解项目情况而导致的索赔或服务期限延长申请将不获批准。</w:t>
      </w:r>
    </w:p>
    <w:p>
      <w:pPr>
        <w:ind w:firstLine="480" w:firstLineChars="200"/>
        <w:rPr>
          <w:rFonts w:ascii="宋体" w:hAnsi="宋体"/>
          <w:szCs w:val="21"/>
        </w:rPr>
      </w:pPr>
      <w:r>
        <w:rPr>
          <w:rFonts w:ascii="宋体" w:hAnsi="宋体"/>
          <w:szCs w:val="21"/>
        </w:rPr>
        <w:t>6</w:t>
      </w:r>
      <w:r>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rPr>
          <w:rFonts w:ascii="宋体" w:hAnsi="宋体"/>
          <w:szCs w:val="21"/>
        </w:rPr>
      </w:pPr>
      <w:r>
        <w:rPr>
          <w:rFonts w:ascii="宋体" w:hAnsi="宋体"/>
          <w:szCs w:val="21"/>
        </w:rPr>
        <w:br w:type="page"/>
      </w:r>
    </w:p>
    <w:p>
      <w:pPr>
        <w:pStyle w:val="NormalIndent"/>
        <w:spacing w:before="60" w:beforeLines="25" w:after="60" w:afterLines="25"/>
        <w:ind w:firstLine="0"/>
        <w:rPr>
          <w:rFonts w:ascii="宋体" w:hAnsi="宋体"/>
          <w:szCs w:val="21"/>
        </w:rPr>
      </w:pPr>
    </w:p>
    <w:p>
      <w:pPr>
        <w:pStyle w:val="Heading2"/>
        <w:rPr>
          <w:kern w:val="2"/>
        </w:rPr>
      </w:pPr>
      <w:r>
        <w:rPr>
          <w:rFonts w:hint="eastAsia"/>
          <w:kern w:val="2"/>
        </w:rPr>
        <w:t>第四章 投标文件组成要求及格式</w:t>
      </w:r>
    </w:p>
    <w:p>
      <w:pPr>
        <w:rPr>
          <w:rStyle w:val="3Char"/>
          <w:sz w:val="24"/>
        </w:rPr>
      </w:pPr>
      <w:r>
        <w:rPr>
          <w:rStyle w:val="3Char"/>
          <w:rFonts w:hint="eastAsia"/>
          <w:sz w:val="24"/>
        </w:rPr>
        <w:t>特别提醒：</w:t>
      </w:r>
    </w:p>
    <w:p>
      <w:pPr>
        <w:ind w:firstLine="480" w:firstLineChars="200"/>
        <w:rPr>
          <w:rFonts w:ascii="仿宋_GB2312" w:eastAsia="仿宋_GB2312"/>
        </w:rPr>
      </w:pPr>
      <w:r>
        <w:rPr>
          <w:rFonts w:ascii="仿宋_GB2312" w:eastAsia="仿宋_GB2312" w:hint="eastAsia"/>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rPr>
      </w:pPr>
      <w:r>
        <w:rPr>
          <w:rFonts w:ascii="仿宋_GB2312" w:eastAsia="仿宋_GB2312" w:hint="eastAsia"/>
        </w:rPr>
        <w:t xml:space="preserve">    投标文件编制操作指引请关注：https://www.szggzy.com/xxgk/tzgg/content_201792.html</w:t>
      </w:r>
    </w:p>
    <w:p>
      <w:pPr>
        <w:jc w:val="center"/>
        <w:rPr>
          <w:rFonts w:ascii="仿宋_GB2312" w:eastAsia="仿宋_GB2312"/>
        </w:rPr>
      </w:pPr>
    </w:p>
    <w:p>
      <w:pPr>
        <w:ind w:firstLine="480" w:firstLineChars="200"/>
        <w:rPr>
          <w:rFonts w:ascii="仿宋_GB2312" w:eastAsia="仿宋_GB2312"/>
        </w:rPr>
      </w:pPr>
      <w:r>
        <w:rPr>
          <w:rFonts w:ascii="仿宋_GB2312" w:eastAsia="仿宋_GB2312" w:hint="eastAsia"/>
        </w:rPr>
        <w:t>政府集中采购机构公布投标文件正文（信息公开部分）时为计算机截取信息自动公布，</w:t>
      </w:r>
      <w:r>
        <w:rPr>
          <w:rFonts w:ascii="仿宋_GB2312" w:eastAsia="仿宋_GB2312" w:hint="eastAsia"/>
          <w:b/>
          <w:bCs/>
        </w:rPr>
        <w:t>如投标人误将涉及个人隐私的信息放入投标文件正文，相关后果由投标人自负；</w:t>
      </w:r>
      <w:r>
        <w:rPr>
          <w:rFonts w:ascii="仿宋_GB2312" w:eastAsia="仿宋_GB2312" w:hint="eastAsia"/>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rPr>
      </w:pPr>
    </w:p>
    <w:p>
      <w:pPr>
        <w:ind w:firstLine="480" w:firstLineChars="200"/>
        <w:rPr>
          <w:rFonts w:ascii="宋体" w:hAnsi="宋体"/>
          <w:b/>
        </w:rPr>
      </w:pPr>
    </w:p>
    <w:p>
      <w:pPr>
        <w:rPr>
          <w:rFonts w:ascii="宋体" w:hAnsi="宋体"/>
        </w:rPr>
      </w:pPr>
      <w:r>
        <w:rPr>
          <w:rFonts w:ascii="宋体" w:hAnsi="宋体" w:hint="eastAsia"/>
        </w:rPr>
        <w:t>投标文件组成：</w:t>
      </w:r>
    </w:p>
    <w:p>
      <w:pPr>
        <w:outlineLvl w:val="1"/>
        <w:rPr>
          <w:rFonts w:ascii="宋体" w:hAnsi="宋体"/>
          <w:b/>
          <w:bCs/>
        </w:rPr>
      </w:pPr>
      <w:r>
        <w:rPr>
          <w:rFonts w:ascii="宋体" w:hAnsi="宋体" w:hint="eastAsia"/>
          <w:b/>
          <w:bCs/>
        </w:rPr>
        <w:t>1.投标文件正文</w:t>
      </w:r>
      <w:r>
        <w:rPr>
          <w:rFonts w:ascii="宋体" w:hAnsi="宋体" w:hint="eastAsia"/>
          <w:b/>
          <w:bCs/>
          <w:color w:val="FF0000"/>
        </w:rPr>
        <w:t>（信息公开部分）</w:t>
      </w:r>
      <w:r>
        <w:rPr>
          <w:rFonts w:ascii="宋体" w:hAnsi="宋体" w:hint="eastAsia"/>
          <w:b/>
          <w:bCs/>
        </w:rPr>
        <w:t>，主要包括以下内容：</w:t>
      </w:r>
    </w:p>
    <w:p>
      <w:pPr>
        <w:rPr>
          <w:szCs w:val="21"/>
        </w:rPr>
      </w:pPr>
      <w:r>
        <w:rPr>
          <w:rFonts w:hint="eastAsia"/>
          <w:szCs w:val="21"/>
        </w:rPr>
        <w:t>（1）</w:t>
      </w:r>
      <w:bookmarkStart w:id="33" w:name="_Hlk72070784"/>
      <w:r>
        <w:rPr>
          <w:rFonts w:hint="eastAsia"/>
          <w:szCs w:val="21"/>
        </w:rPr>
        <w:t>投标函</w:t>
      </w:r>
      <w:bookmarkEnd w:id="33"/>
    </w:p>
    <w:p>
      <w:pPr>
        <w:rPr>
          <w:szCs w:val="21"/>
        </w:rPr>
      </w:pPr>
      <w:r>
        <w:rPr>
          <w:rFonts w:hint="eastAsia"/>
          <w:szCs w:val="21"/>
        </w:rPr>
        <w:t>（2）</w:t>
      </w:r>
      <w:bookmarkStart w:id="34" w:name="_Hlk72062521"/>
      <w:r>
        <w:rPr>
          <w:rFonts w:hint="eastAsia"/>
          <w:szCs w:val="21"/>
        </w:rPr>
        <w:t>政府采购投标及履约承诺函</w:t>
      </w:r>
      <w:bookmarkEnd w:id="34"/>
    </w:p>
    <w:p>
      <w:pPr>
        <w:rPr>
          <w:szCs w:val="21"/>
        </w:rPr>
      </w:pPr>
      <w:r>
        <w:rPr>
          <w:rFonts w:hint="eastAsia"/>
          <w:szCs w:val="21"/>
        </w:rPr>
        <w:t>（</w:t>
      </w:r>
      <w:r>
        <w:rPr>
          <w:szCs w:val="21"/>
        </w:rPr>
        <w:t>3</w:t>
      </w:r>
      <w:r>
        <w:rPr>
          <w:rFonts w:hint="eastAsia"/>
          <w:szCs w:val="21"/>
        </w:rPr>
        <w:t>）投标人情况及资格证明文件</w:t>
      </w:r>
    </w:p>
    <w:p>
      <w:pPr>
        <w:rPr>
          <w:szCs w:val="21"/>
        </w:rPr>
      </w:pPr>
      <w:bookmarkStart w:id="35" w:name="_Hlk72257201"/>
      <w:r>
        <w:rPr>
          <w:rFonts w:hint="eastAsia"/>
          <w:szCs w:val="21"/>
        </w:rPr>
        <w:t>（</w:t>
      </w:r>
      <w:r>
        <w:rPr>
          <w:szCs w:val="21"/>
        </w:rPr>
        <w:t>4</w:t>
      </w:r>
      <w:r>
        <w:rPr>
          <w:rFonts w:hint="eastAsia"/>
          <w:szCs w:val="21"/>
        </w:rPr>
        <w:t>）项目详细报价</w:t>
      </w:r>
    </w:p>
    <w:p>
      <w:pPr>
        <w:pStyle w:val="BodyText"/>
        <w:rPr>
          <w:rFonts w:eastAsia="宋体"/>
          <w:szCs w:val="21"/>
        </w:rPr>
      </w:pPr>
      <w:r>
        <w:rPr>
          <w:rFonts w:eastAsia="宋体" w:hint="eastAsia"/>
          <w:szCs w:val="21"/>
        </w:rPr>
        <w:t>（5）评审因素资料（公开部分）</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szCs w:val="21"/>
        </w:rPr>
        <w:t>投标人通过相关认证情况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hAnsi="宋体" w:hint="eastAsia"/>
          <w:szCs w:val="21"/>
        </w:rPr>
        <w:t>投标人同类项目业绩情况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宋体" w:hAnsi="宋体" w:hint="eastAsia"/>
          <w:szCs w:val="21"/>
        </w:rPr>
        <w:t>投标人获奖情况</w:t>
      </w:r>
    </w:p>
    <w:p>
      <w:pPr>
        <w:rPr>
          <w:rFonts w:hAnsi="宋体"/>
          <w:color w:val="000000" w:themeColor="text1"/>
          <w:sz w:val="21"/>
          <w:szCs w:val="21"/>
        </w:rPr>
      </w:pPr>
    </w:p>
    <w:p>
      <w:pPr>
        <w:outlineLvl w:val="1"/>
        <w:rPr>
          <w:rFonts w:ascii="宋体" w:hAnsi="宋体"/>
          <w:b/>
          <w:bCs/>
        </w:rPr>
      </w:pPr>
      <w:bookmarkEnd w:id="35"/>
      <w:r>
        <w:rPr>
          <w:rFonts w:ascii="宋体" w:hAnsi="宋体" w:hint="eastAsia"/>
          <w:b/>
          <w:bCs/>
        </w:rPr>
        <w:t>2.投标文件附件</w:t>
      </w:r>
      <w:r>
        <w:rPr>
          <w:rFonts w:ascii="宋体" w:hAnsi="宋体" w:hint="eastAsia"/>
          <w:b/>
          <w:bCs/>
          <w:color w:val="FF0000"/>
        </w:rPr>
        <w:t>（信息不公开部分）</w:t>
      </w:r>
      <w:r>
        <w:rPr>
          <w:rFonts w:ascii="宋体" w:hAnsi="宋体" w:hint="eastAsia"/>
          <w:b/>
          <w:bCs/>
        </w:rPr>
        <w:t>：主要包括以下内容：</w:t>
      </w:r>
    </w:p>
    <w:p>
      <w:pPr>
        <w:rPr>
          <w:szCs w:val="21"/>
        </w:rPr>
      </w:pPr>
      <w:r>
        <w:rPr>
          <w:rFonts w:hint="eastAsia"/>
          <w:szCs w:val="21"/>
        </w:rPr>
        <w:t>（1）法定代表人（负责人）证明书</w:t>
      </w:r>
    </w:p>
    <w:p>
      <w:pPr>
        <w:rPr>
          <w:szCs w:val="21"/>
        </w:rPr>
      </w:pPr>
      <w:r>
        <w:rPr>
          <w:rFonts w:hint="eastAsia"/>
          <w:szCs w:val="21"/>
        </w:rPr>
        <w:t>（2）投标文件签署授权委托书</w:t>
      </w:r>
    </w:p>
    <w:p>
      <w:pPr>
        <w:rPr>
          <w:rFonts w:eastAsia="宋体"/>
          <w:b/>
          <w:bCs/>
          <w:szCs w:val="21"/>
        </w:rPr>
      </w:pPr>
      <w:r>
        <w:rPr>
          <w:rFonts w:hint="eastAsia"/>
          <w:b/>
          <w:bCs/>
          <w:szCs w:val="21"/>
        </w:rPr>
        <w:t>（</w:t>
      </w:r>
      <w:r>
        <w:rPr>
          <w:rFonts w:eastAsia="宋体" w:hint="eastAsia"/>
          <w:b/>
          <w:bCs/>
          <w:szCs w:val="21"/>
        </w:rPr>
        <w:t>3</w:t>
      </w:r>
      <w:r>
        <w:rPr>
          <w:rFonts w:hint="eastAsia"/>
          <w:b/>
          <w:bCs/>
          <w:szCs w:val="21"/>
        </w:rPr>
        <w:t>）评审因素资料</w:t>
      </w:r>
      <w:r>
        <w:rPr>
          <w:rFonts w:eastAsia="宋体" w:hint="eastAsia"/>
          <w:b/>
          <w:bCs/>
          <w:szCs w:val="21"/>
        </w:rPr>
        <w:t>（不公开部分）</w:t>
      </w:r>
    </w:p>
    <w:p>
      <w:pPr>
        <w:outlineLvl w:val="2"/>
        <w:rPr>
          <w:b/>
        </w:rPr>
      </w:pPr>
      <w:r>
        <w:rPr>
          <w:rFonts w:eastAsia="宋体" w:hAnsi="宋体" w:hint="eastAsia"/>
          <w:color w:val="000000"/>
          <w:sz w:val="21"/>
          <w:szCs w:val="21"/>
        </w:rPr>
        <w:t>1）</w:t>
      </w:r>
      <w:r>
        <w:rPr>
          <w:rFonts w:ascii="宋体" w:hAnsi="宋体" w:hint="eastAsia"/>
          <w:szCs w:val="21"/>
        </w:rPr>
        <w:t>实施方案</w:t>
      </w:r>
    </w:p>
    <w:p>
      <w:pPr>
        <w:outlineLvl w:val="2"/>
        <w:rPr>
          <w:b/>
        </w:rPr>
      </w:pPr>
      <w:r>
        <w:rPr>
          <w:rFonts w:eastAsia="宋体" w:hAnsi="宋体" w:hint="eastAsia"/>
          <w:color w:val="000000"/>
          <w:sz w:val="21"/>
          <w:szCs w:val="21"/>
        </w:rPr>
        <w:t>2）</w:t>
      </w:r>
      <w:r>
        <w:rPr>
          <w:rFonts w:ascii="宋体" w:hAnsi="宋体" w:hint="eastAsia"/>
          <w:szCs w:val="21"/>
        </w:rPr>
        <w:t>IND申报时限</w:t>
      </w:r>
    </w:p>
    <w:p>
      <w:pPr>
        <w:outlineLvl w:val="2"/>
        <w:rPr>
          <w:b/>
        </w:rPr>
      </w:pPr>
      <w:r>
        <w:rPr>
          <w:rFonts w:eastAsia="宋体" w:hAnsi="宋体" w:hint="eastAsia"/>
          <w:color w:val="000000"/>
          <w:sz w:val="21"/>
          <w:szCs w:val="21"/>
        </w:rPr>
        <w:t>3）</w:t>
      </w:r>
      <w:r>
        <w:rPr>
          <w:rFonts w:ascii="宋体" w:hAnsi="宋体" w:hint="eastAsia"/>
          <w:szCs w:val="21"/>
        </w:rPr>
        <w:t>质量及售后保障措施及方案</w:t>
      </w:r>
    </w:p>
    <w:p>
      <w:pPr>
        <w:outlineLvl w:val="2"/>
        <w:rPr>
          <w:rFonts w:eastAsia="宋体" w:hAnsi="宋体"/>
          <w:color w:val="000000"/>
          <w:sz w:val="21"/>
          <w:szCs w:val="21"/>
        </w:rPr>
      </w:pPr>
      <w:r>
        <w:rPr>
          <w:rFonts w:eastAsia="宋体" w:hAnsi="宋体" w:hint="eastAsia"/>
          <w:color w:val="000000"/>
          <w:sz w:val="21"/>
          <w:szCs w:val="21"/>
        </w:rPr>
        <w:t>4）</w:t>
      </w:r>
      <w:r>
        <w:rPr>
          <w:rFonts w:ascii="宋体" w:hAnsi="宋体" w:hint="eastAsia"/>
          <w:szCs w:val="21"/>
        </w:rPr>
        <w:t>项目完成（服务期满）后的服务承诺</w:t>
      </w:r>
    </w:p>
    <w:p>
      <w:pPr>
        <w:outlineLvl w:val="2"/>
      </w:pPr>
      <w:r>
        <w:rPr>
          <w:rFonts w:eastAsia="宋体" w:hAnsi="宋体" w:hint="eastAsia"/>
          <w:color w:val="000000"/>
          <w:sz w:val="21"/>
          <w:szCs w:val="21"/>
        </w:rPr>
        <w:t>5）</w:t>
      </w:r>
      <w:r>
        <w:rPr>
          <w:rFonts w:ascii="宋体" w:hAnsi="宋体" w:hint="eastAsia"/>
          <w:szCs w:val="21"/>
        </w:rPr>
        <w:t>违约承诺</w:t>
      </w:r>
    </w:p>
    <w:p>
      <w:pPr>
        <w:snapToGrid w:val="0"/>
        <w:jc w:val="both"/>
        <w:rPr>
          <w:rFonts w:ascii="宋体" w:hAnsi="宋体"/>
          <w:szCs w:val="21"/>
        </w:rPr>
      </w:pPr>
      <w:r>
        <w:rPr>
          <w:rFonts w:eastAsia="宋体" w:hAnsi="宋体" w:hint="eastAsia"/>
          <w:color w:val="000000"/>
          <w:sz w:val="21"/>
          <w:szCs w:val="21"/>
        </w:rPr>
        <w:t>6）</w:t>
      </w:r>
      <w:r>
        <w:rPr>
          <w:rFonts w:ascii="宋体" w:hAnsi="宋体" w:hint="eastAsia"/>
          <w:szCs w:val="21"/>
        </w:rPr>
        <w:t>拟安排的项目负责人情况（仅限一人）</w:t>
      </w:r>
    </w:p>
    <w:p>
      <w:pPr>
        <w:snapToGrid w:val="0"/>
        <w:jc w:val="both"/>
      </w:pPr>
      <w:r>
        <w:rPr>
          <w:rFonts w:eastAsia="宋体" w:hAnsi="宋体" w:hint="eastAsia"/>
          <w:color w:val="000000"/>
          <w:sz w:val="21"/>
          <w:szCs w:val="21"/>
        </w:rPr>
        <w:t>7）</w:t>
      </w:r>
      <w:r>
        <w:rPr>
          <w:rFonts w:ascii="宋体" w:hAnsi="宋体" w:hint="eastAsia"/>
          <w:szCs w:val="21"/>
        </w:rPr>
        <w:t>拟安排的项目主要团队成员（主要技术人员）情况（项目负责人除外）</w:t>
      </w:r>
    </w:p>
    <w:p/>
    <w:p>
      <w:pPr>
        <w:rPr>
          <w:b/>
          <w:bCs/>
          <w:szCs w:val="21"/>
        </w:rPr>
      </w:pPr>
      <w:r>
        <w:rPr>
          <w:rFonts w:eastAsia="宋体" w:hint="eastAsia"/>
          <w:b/>
          <w:bCs/>
          <w:szCs w:val="21"/>
          <w:lang w:val="en-US" w:eastAsia="zh-CN"/>
        </w:rPr>
        <w:t>(4)</w:t>
      </w:r>
      <w:r>
        <w:rPr>
          <w:rFonts w:hint="eastAsia"/>
          <w:b/>
          <w:bCs/>
          <w:szCs w:val="21"/>
        </w:rPr>
        <w:t>投标人认为需要加以说明的其他内容</w:t>
      </w:r>
    </w:p>
    <w:p>
      <w:pPr>
        <w:pStyle w:val="NormalIndent"/>
        <w:ind w:left="240" w:firstLine="893" w:leftChars="100" w:firstLineChars="372"/>
        <w:rPr>
          <w:rFonts w:ascii="宋体" w:hAnsi="宋体"/>
          <w:szCs w:val="21"/>
        </w:rPr>
      </w:pPr>
    </w:p>
    <w:p>
      <w:pPr>
        <w:rPr>
          <w:rFonts w:ascii="仿宋_GB2312" w:eastAsia="仿宋_GB2312"/>
        </w:rPr>
      </w:pPr>
    </w:p>
    <w:p>
      <w:pPr>
        <w:ind w:firstLine="485" w:firstLineChars="202"/>
        <w:rPr>
          <w:rFonts w:ascii="宋体" w:hAnsi="宋体"/>
          <w:b/>
          <w:szCs w:val="21"/>
        </w:rPr>
      </w:pPr>
      <w:r>
        <w:rPr>
          <w:rFonts w:ascii="宋体" w:hAnsi="宋体" w:hint="eastAsia"/>
          <w:b/>
          <w:szCs w:val="21"/>
        </w:rPr>
        <w:t>备注：</w:t>
      </w:r>
    </w:p>
    <w:p>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85" w:firstLineChars="202"/>
        <w:rPr>
          <w:rFonts w:ascii="宋体" w:hAnsi="宋体"/>
          <w:b/>
          <w:szCs w:val="21"/>
        </w:rPr>
      </w:pPr>
      <w:r>
        <w:rPr>
          <w:rFonts w:ascii="宋体" w:hAnsi="宋体" w:hint="eastAsia"/>
          <w:b/>
          <w:szCs w:val="21"/>
        </w:rPr>
        <w:t>2.关于填写“开标一览表”的说明：“开标一览表”中除“投标总价”外，其他信息不作评审依据。</w:t>
      </w:r>
    </w:p>
    <w:p>
      <w:pPr>
        <w:rPr>
          <w:rFonts w:ascii="仿宋_GB2312" w:eastAsia="仿宋_GB2312"/>
        </w:rPr>
      </w:pPr>
    </w:p>
    <w:p>
      <w:pPr>
        <w:ind w:firstLine="485" w:firstLineChars="202"/>
        <w:rPr>
          <w:rFonts w:ascii="宋体" w:hAnsi="宋体"/>
          <w:b/>
          <w:szCs w:val="21"/>
        </w:rPr>
      </w:pPr>
    </w:p>
    <w:p>
      <w:pPr>
        <w:ind w:firstLine="485" w:firstLineChars="202"/>
        <w:rPr>
          <w:rFonts w:ascii="宋体" w:hAnsi="宋体"/>
          <w:b/>
          <w:szCs w:val="21"/>
        </w:rPr>
      </w:pPr>
    </w:p>
    <w:p>
      <w:pPr>
        <w:rPr>
          <w:rFonts w:ascii="宋体" w:hAnsi="宋体"/>
          <w:b/>
          <w:color w:val="FF0000"/>
          <w:sz w:val="36"/>
          <w:szCs w:val="36"/>
        </w:rPr>
      </w:pPr>
      <w:r>
        <w:rPr>
          <w:rFonts w:ascii="宋体" w:hAnsi="宋体" w:hint="eastAsia"/>
          <w:b/>
          <w:color w:val="FF0000"/>
          <w:sz w:val="36"/>
          <w:szCs w:val="36"/>
        </w:rPr>
        <w:br w:type="page"/>
      </w: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2"/>
        <w:rPr>
          <w:rFonts w:ascii="黑体" w:eastAsia="黑体"/>
        </w:rPr>
      </w:pPr>
      <w:r>
        <w:rPr>
          <w:rFonts w:ascii="黑体" w:eastAsia="黑体" w:hint="eastAsia"/>
        </w:rPr>
        <w:t>一、投标函</w:t>
      </w:r>
    </w:p>
    <w:p>
      <w:pPr>
        <w:rPr>
          <w:rFonts w:ascii="宋体" w:hAnsi="宋体"/>
          <w:szCs w:val="21"/>
        </w:rPr>
      </w:pPr>
      <w:r>
        <w:rPr>
          <w:rFonts w:ascii="宋体" w:hAnsi="宋体" w:hint="eastAsia"/>
          <w:szCs w:val="21"/>
        </w:rPr>
        <w:t>致：</w:t>
      </w:r>
      <w:r>
        <w:rPr>
          <w:rFonts w:ascii="宋体" w:hAnsi="宋体" w:hint="eastAsia"/>
        </w:rPr>
        <w:t>深圳公共资源交易中心（深圳交易集团有限公司坪山分公司）</w:t>
      </w:r>
    </w:p>
    <w:p>
      <w:pPr>
        <w:ind w:firstLine="480" w:firstLineChars="200"/>
        <w:rPr>
          <w:rFonts w:ascii="宋体" w:hAnsi="宋体"/>
          <w:szCs w:val="21"/>
        </w:rPr>
      </w:pPr>
      <w:bookmarkStart w:id="36"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pPr>
        <w:ind w:firstLine="480" w:firstLineChars="200"/>
        <w:rPr>
          <w:rFonts w:ascii="宋体" w:hAnsi="宋体"/>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投标书编制软件中《开标一览表》中填写的投标总价。</w:t>
      </w:r>
    </w:p>
    <w:p>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left="480" w:leftChars="200"/>
        <w:rPr>
          <w:rFonts w:ascii="宋体" w:hAnsi="宋体"/>
          <w:szCs w:val="21"/>
        </w:rPr>
      </w:pPr>
      <w:r>
        <w:rPr>
          <w:rFonts w:ascii="宋体" w:hAnsi="宋体" w:hint="eastAsia"/>
          <w:szCs w:val="21"/>
        </w:rPr>
        <w:t>6、</w:t>
      </w:r>
      <w:r>
        <w:rPr>
          <w:rFonts w:ascii="宋体" w:hAnsi="宋体" w:hint="eastAsia"/>
          <w:color w:val="000000"/>
          <w:szCs w:val="21"/>
        </w:rPr>
        <w:t>我</w:t>
      </w:r>
      <w:r>
        <w:rPr>
          <w:rFonts w:hint="eastAsia"/>
          <w:szCs w:val="21"/>
        </w:rPr>
        <w:t>方</w:t>
      </w:r>
      <w:r>
        <w:rPr>
          <w:rFonts w:ascii="宋体" w:hAnsi="宋体" w:hint="eastAsia"/>
          <w:color w:val="000000"/>
          <w:szCs w:val="21"/>
        </w:rPr>
        <w:t>完全理解贵方不一定要接受最低报价的投标或收到的任何投标。</w:t>
      </w:r>
      <w:bookmarkEnd w:id="36"/>
    </w:p>
    <w:p>
      <w:pPr>
        <w:ind w:left="480" w:leftChars="200"/>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617" w:leftChars="257"/>
        <w:rPr>
          <w:szCs w:val="21"/>
          <w:u w:val="single"/>
        </w:rPr>
      </w:pPr>
      <w:r>
        <w:rPr>
          <w:rFonts w:hint="eastAsia"/>
          <w:szCs w:val="21"/>
        </w:rPr>
        <w:t>法定代表人（负责人）或其委托代理人：</w:t>
      </w:r>
      <w:r>
        <w:rPr>
          <w:rFonts w:hint="eastAsia"/>
          <w:szCs w:val="21"/>
          <w:u w:val="single"/>
        </w:rPr>
        <w:t xml:space="preserve">                   </w:t>
      </w:r>
    </w:p>
    <w:p>
      <w:pPr>
        <w:ind w:left="617"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17" w:firstLineChars="257"/>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rPr>
        <w:t xml:space="preserve">                                </w:t>
      </w:r>
    </w:p>
    <w:p>
      <w:pPr>
        <w:rPr>
          <w:rFonts w:ascii="黑体" w:eastAsia="黑体" w:hAnsi="宋体"/>
        </w:rPr>
      </w:pPr>
    </w:p>
    <w:p>
      <w:pPr>
        <w:rPr>
          <w:rFonts w:ascii="宋体" w:hAnsi="宋体"/>
          <w:szCs w:val="21"/>
        </w:rPr>
      </w:pPr>
    </w:p>
    <w:p>
      <w:pPr>
        <w:rPr>
          <w:rFonts w:ascii="黑体" w:eastAsia="黑体" w:hAnsi="宋体"/>
        </w:rPr>
      </w:pPr>
    </w:p>
    <w:p>
      <w:pPr>
        <w:rPr>
          <w:rFonts w:ascii="黑体" w:eastAsia="黑体" w:hAnsi="宋体"/>
        </w:rPr>
      </w:pPr>
    </w:p>
    <w:p>
      <w:pPr>
        <w:rPr>
          <w:rFonts w:ascii="黑体" w:eastAsia="黑体" w:hAnsi="宋体"/>
        </w:rPr>
      </w:pPr>
    </w:p>
    <w:p>
      <w:pPr>
        <w:pStyle w:val="Heading2"/>
        <w:rPr>
          <w:rFonts w:ascii="黑体" w:eastAsia="黑体"/>
        </w:rPr>
      </w:pPr>
      <w:r>
        <w:rPr>
          <w:rFonts w:ascii="黑体" w:eastAsia="黑体" w:hint="eastAsia"/>
        </w:rPr>
        <w:t>二、政府采购投标及履约承诺函</w:t>
      </w:r>
    </w:p>
    <w:p>
      <w:pPr>
        <w:rPr>
          <w:rFonts w:ascii="宋体" w:hAnsi="宋体"/>
        </w:rPr>
      </w:pPr>
    </w:p>
    <w:p>
      <w:pPr>
        <w:rPr>
          <w:rFonts w:ascii="宋体" w:eastAsia="宋体" w:hAnsi="宋体"/>
          <w:color w:val="000000"/>
          <w:szCs w:val="21"/>
        </w:rPr>
      </w:pPr>
      <w:r>
        <w:rPr>
          <w:rFonts w:ascii="宋体" w:hAnsi="宋体" w:hint="eastAsia"/>
          <w:color w:val="FF0000"/>
          <w:szCs w:val="21"/>
        </w:rPr>
        <w:t>致：</w:t>
      </w:r>
      <w:r>
        <w:rPr>
          <w:rFonts w:ascii="宋体" w:hAnsi="宋体" w:hint="eastAsia"/>
        </w:rPr>
        <w:t>深圳公共资源交易中心（深圳交易集团有限公司坪山分公司）</w:t>
      </w:r>
    </w:p>
    <w:p>
      <w:pPr>
        <w:rPr>
          <w:rFonts w:ascii="宋体" w:hAnsi="宋体"/>
          <w:color w:val="FF0000"/>
          <w:szCs w:val="21"/>
        </w:rPr>
      </w:pPr>
    </w:p>
    <w:p>
      <w:pPr>
        <w:ind w:right="-815" w:firstLine="480" w:firstLineChars="200"/>
        <w:rPr>
          <w:rFonts w:ascii="宋体" w:hAnsi="宋体"/>
          <w:szCs w:val="21"/>
        </w:rPr>
      </w:pPr>
      <w:r>
        <w:rPr>
          <w:rFonts w:ascii="宋体" w:hAnsi="宋体" w:hint="eastAsia"/>
          <w:szCs w:val="21"/>
        </w:rPr>
        <w:t>我单位承诺：</w:t>
      </w:r>
    </w:p>
    <w:p>
      <w:pPr>
        <w:ind w:firstLine="480" w:firstLineChars="200"/>
        <w:rPr>
          <w:rFonts w:ascii="宋体" w:hAnsi="宋体"/>
          <w:szCs w:val="21"/>
        </w:rPr>
      </w:pPr>
      <w:r>
        <w:rPr>
          <w:rFonts w:ascii="宋体" w:hAnsi="宋体" w:hint="eastAsia"/>
          <w:szCs w:val="21"/>
        </w:rPr>
        <w:t>1.我单位本招标项目所提供的货物或服务不存在侵犯知识产权情况，知悉并同意中标（成交）结果信息公示（公开）的内容。</w:t>
      </w:r>
    </w:p>
    <w:p>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80" w:firstLineChars="20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80" w:firstLineChars="200"/>
        <w:rPr>
          <w:rFonts w:ascii="宋体" w:hAnsi="宋体"/>
        </w:rPr>
      </w:pPr>
      <w:r>
        <w:rPr>
          <w:rFonts w:ascii="宋体" w:hAnsi="宋体" w:hint="eastAsia"/>
          <w:szCs w:val="21"/>
        </w:rPr>
        <w:t>12.我</w:t>
      </w:r>
      <w:r>
        <w:rPr>
          <w:rFonts w:ascii="宋体" w:eastAsia="宋体" w:hAnsi="宋体" w:hint="eastAsia"/>
          <w:szCs w:val="21"/>
        </w:rPr>
        <w:t>单位</w:t>
      </w:r>
      <w:r>
        <w:rPr>
          <w:rFonts w:ascii="宋体" w:hAnsi="宋体" w:hint="eastAsia"/>
          <w:szCs w:val="21"/>
        </w:rPr>
        <w:t>承诺与其他投标供应商不存在单位负责人为同一人或者存在直接控股、管理关系；未对本次采购项目为采购项目提供整体设计、规范编制或者项目管理、监理、检测等服务。</w:t>
      </w:r>
    </w:p>
    <w:p>
      <w:pPr>
        <w:pStyle w:val="BodyText"/>
      </w:pPr>
    </w:p>
    <w:p>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6240" w:firstLineChars="2600"/>
        <w:rPr>
          <w:rFonts w:ascii="宋体" w:hAnsi="宋体"/>
          <w:szCs w:val="21"/>
        </w:rPr>
      </w:pPr>
      <w:r>
        <w:rPr>
          <w:rFonts w:ascii="宋体" w:hAnsi="宋体" w:hint="eastAsia"/>
          <w:szCs w:val="21"/>
        </w:rPr>
        <w:t xml:space="preserve">                                    </w:t>
      </w:r>
    </w:p>
    <w:p>
      <w:pPr>
        <w:spacing w:before="60" w:beforeLines="25" w:after="60" w:afterLines="25"/>
        <w:ind w:firstLine="624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pPr>
        <w:rPr>
          <w:rFonts w:ascii="宋体" w:hAnsi="宋体"/>
          <w:szCs w:val="21"/>
        </w:rPr>
      </w:pPr>
    </w:p>
    <w:p>
      <w:pPr>
        <w:rPr>
          <w:rFonts w:ascii="宋体" w:hAnsi="宋体"/>
          <w:szCs w:val="21"/>
        </w:rPr>
      </w:pPr>
    </w:p>
    <w:p/>
    <w:p/>
    <w:p>
      <w:pPr>
        <w:pStyle w:val="Heading2"/>
        <w:rPr>
          <w:rFonts w:ascii="黑体" w:eastAsia="黑体"/>
        </w:rPr>
      </w:pPr>
      <w:r>
        <w:rPr>
          <w:rFonts w:ascii="黑体" w:eastAsia="黑体" w:hint="eastAsia"/>
        </w:rPr>
        <w:t>三、投标人情况及资格证明文件</w:t>
      </w:r>
    </w:p>
    <w:p>
      <w:pPr>
        <w:ind w:firstLine="2640" w:firstLineChars="1100"/>
        <w:outlineLvl w:val="2"/>
        <w:rPr>
          <w:rFonts w:ascii="黑体" w:eastAsia="黑体" w:hAnsi="宋体"/>
          <w:bCs/>
          <w:szCs w:val="32"/>
        </w:rPr>
      </w:pPr>
      <w:r>
        <w:rPr>
          <w:rFonts w:ascii="黑体" w:eastAsia="黑体" w:hAnsi="宋体" w:hint="eastAsia"/>
          <w:bCs/>
          <w:szCs w:val="32"/>
        </w:rPr>
        <w:t>（一）投标人资格证明文件</w:t>
      </w:r>
    </w:p>
    <w:p>
      <w:pPr>
        <w:spacing w:before="120" w:beforeLines="50"/>
        <w:ind w:firstLine="48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0" w:firstLineChars="200"/>
        <w:rPr>
          <w:b/>
        </w:rPr>
      </w:pPr>
    </w:p>
    <w:p>
      <w:pPr>
        <w:ind w:firstLine="480" w:firstLineChars="200"/>
        <w:outlineLvl w:val="2"/>
        <w:rPr>
          <w:rFonts w:ascii="黑体" w:eastAsia="黑体" w:hAnsi="宋体"/>
          <w:bCs/>
          <w:szCs w:val="32"/>
        </w:rPr>
      </w:pPr>
      <w:r>
        <w:rPr>
          <w:rFonts w:ascii="黑体" w:eastAsia="黑体" w:hAnsi="宋体" w:hint="eastAsia"/>
          <w:bCs/>
          <w:szCs w:val="32"/>
        </w:rPr>
        <w:t>（二）中小企业声明函、残疾人福利性单位声明函及监狱企业声明函</w:t>
      </w:r>
    </w:p>
    <w:p>
      <w:pPr>
        <w:rPr>
          <w:rFonts w:ascii="黑体" w:eastAsia="黑体" w:hAnsi="宋体"/>
          <w:bCs/>
          <w:szCs w:val="32"/>
        </w:rPr>
      </w:pPr>
    </w:p>
    <w:p>
      <w:pPr>
        <w:ind w:firstLine="480" w:firstLineChars="200"/>
        <w:outlineLvl w:val="3"/>
        <w:rPr>
          <w:rFonts w:ascii="黑体" w:eastAsia="黑体" w:hAnsi="宋体"/>
          <w:bCs/>
          <w:color w:val="FF0000"/>
          <w:szCs w:val="21"/>
        </w:rPr>
      </w:pPr>
      <w:r>
        <w:rPr>
          <w:rFonts w:ascii="黑体" w:eastAsia="黑体" w:hAnsi="宋体" w:hint="eastAsia"/>
          <w:bCs/>
          <w:color w:val="FF0000"/>
          <w:szCs w:val="21"/>
        </w:rPr>
        <w:t>填写指引：</w:t>
      </w:r>
    </w:p>
    <w:p>
      <w:pPr>
        <w:ind w:firstLine="480" w:firstLineChars="200"/>
        <w:rPr>
          <w:rFonts w:ascii="黑体" w:eastAsia="黑体" w:hAnsi="黑体"/>
          <w:color w:val="FF0000"/>
          <w:szCs w:val="21"/>
        </w:rPr>
      </w:pPr>
      <w:r>
        <w:rPr>
          <w:rFonts w:ascii="黑体" w:eastAsia="黑体" w:hAnsi="宋体" w:hint="eastAsia"/>
          <w:bCs/>
          <w:color w:val="FF000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pPr>
        <w:ind w:firstLine="480" w:firstLineChars="200"/>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38"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38"/>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pPr>
        <w:ind w:firstLine="480" w:firstLineChars="200"/>
        <w:rPr>
          <w:rFonts w:ascii="黑体" w:eastAsia="黑体" w:hAnsi="宋体"/>
          <w:bCs/>
          <w:color w:val="FF0000"/>
          <w:szCs w:val="21"/>
        </w:rPr>
      </w:pPr>
      <w:r>
        <w:rPr>
          <w:rFonts w:ascii="黑体" w:eastAsia="黑体" w:hAnsi="宋体" w:hint="eastAsia"/>
          <w:bCs/>
          <w:color w:val="FF000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pPr>
        <w:ind w:firstLine="480" w:firstLineChars="200"/>
        <w:rPr>
          <w:rFonts w:ascii="黑体" w:eastAsia="黑体" w:hAnsi="宋体"/>
          <w:bCs/>
          <w:color w:val="FF0000"/>
          <w:szCs w:val="21"/>
        </w:rPr>
      </w:pPr>
      <w:r>
        <w:rPr>
          <w:rFonts w:ascii="黑体" w:eastAsia="黑体" w:hAnsi="宋体" w:hint="eastAsia"/>
          <w:bCs/>
          <w:color w:val="FF0000"/>
          <w:szCs w:val="21"/>
        </w:rPr>
        <w:t>4、声明函具体填写要求：</w:t>
      </w:r>
    </w:p>
    <w:p>
      <w:pPr>
        <w:ind w:firstLine="480" w:firstLineChars="200"/>
        <w:rPr>
          <w:rFonts w:ascii="黑体" w:eastAsia="黑体" w:hAnsi="宋体"/>
          <w:bCs/>
          <w:color w:val="FF0000"/>
          <w:szCs w:val="21"/>
        </w:rPr>
      </w:pPr>
      <w:r>
        <w:rPr>
          <w:rFonts w:ascii="黑体" w:eastAsia="黑体" w:hAnsi="宋体" w:hint="eastAsia"/>
          <w:bCs/>
          <w:color w:val="FF0000"/>
          <w:szCs w:val="21"/>
        </w:rPr>
        <w:t>（1）声明是中小企业须填写《中小企业声明函》的以下内容：</w:t>
      </w:r>
    </w:p>
    <w:p>
      <w:pPr>
        <w:ind w:firstLine="480" w:firstLineChars="200"/>
        <w:rPr>
          <w:rFonts w:ascii="黑体" w:eastAsia="黑体" w:hAnsi="宋体"/>
          <w:bCs/>
          <w:color w:val="FF0000"/>
          <w:szCs w:val="21"/>
        </w:rPr>
      </w:pPr>
      <w:r>
        <w:rPr>
          <w:rFonts w:ascii="黑体" w:eastAsia="黑体" w:hAnsi="宋体" w:hint="eastAsia"/>
          <w:bCs/>
          <w:color w:val="FF0000"/>
          <w:szCs w:val="21"/>
        </w:rPr>
        <w:t>第一处，在“采购人名称”下划线处如实填写采购人名称（深圳公共资源交易中心不是本项目的采购人，而是组织实施机构）；</w:t>
      </w:r>
    </w:p>
    <w:p>
      <w:pPr>
        <w:ind w:firstLine="480" w:firstLineChars="200"/>
        <w:rPr>
          <w:rFonts w:ascii="黑体" w:eastAsia="黑体" w:hAnsi="宋体"/>
          <w:bCs/>
          <w:color w:val="FF0000"/>
          <w:szCs w:val="21"/>
        </w:rPr>
      </w:pPr>
      <w:r>
        <w:rPr>
          <w:rFonts w:ascii="黑体" w:eastAsia="黑体" w:hAnsi="宋体" w:hint="eastAsia"/>
          <w:bCs/>
          <w:color w:val="FF0000"/>
          <w:szCs w:val="21"/>
        </w:rPr>
        <w:t>第二处，在“项目名称”下划线处如实填写采购项目名称；</w:t>
      </w:r>
    </w:p>
    <w:p>
      <w:pPr>
        <w:ind w:firstLine="480" w:firstLineChars="200"/>
        <w:rPr>
          <w:rFonts w:ascii="黑体" w:eastAsia="黑体" w:hAnsi="宋体"/>
          <w:bCs/>
          <w:color w:val="FF0000"/>
          <w:szCs w:val="21"/>
        </w:rPr>
      </w:pPr>
      <w:r>
        <w:rPr>
          <w:rFonts w:ascii="黑体" w:eastAsia="黑体" w:hAnsi="宋体" w:hint="eastAsia"/>
          <w:bCs/>
          <w:color w:val="FF0000"/>
          <w:szCs w:val="21"/>
        </w:rPr>
        <w:t>第三处，在“标的名称”下划线处填写所采购服务（标的）的具体名称（以</w:t>
      </w:r>
      <w:bookmarkStart w:id="39" w:name="_Hlk72259001"/>
      <w:r>
        <w:rPr>
          <w:rFonts w:ascii="黑体" w:eastAsia="黑体" w:hAnsi="宋体" w:hint="eastAsia"/>
          <w:bCs/>
          <w:color w:val="FF0000"/>
          <w:szCs w:val="21"/>
        </w:rPr>
        <w:t>招标文件第一册第三章</w:t>
      </w:r>
      <w:bookmarkEnd w:id="39"/>
      <w:r>
        <w:rPr>
          <w:rFonts w:ascii="黑体" w:eastAsia="黑体" w:hAnsi="宋体" w:hint="eastAsia"/>
          <w:bCs/>
          <w:color w:val="FF0000"/>
          <w:szCs w:val="21"/>
        </w:rPr>
        <w:t>用户需求书“项目基本信息”的“采购项目名称”一栏为准）；如果涉及多个服务需求（标的）由同一企业承接，“标的名称”下划线处可以如实填写多个服务需求（标的）；</w:t>
      </w:r>
    </w:p>
    <w:p>
      <w:pPr>
        <w:ind w:firstLine="480" w:firstLineChars="200"/>
        <w:rPr>
          <w:rFonts w:ascii="黑体" w:eastAsia="黑体" w:hAnsi="宋体"/>
          <w:bCs/>
          <w:color w:val="FF0000"/>
          <w:szCs w:val="21"/>
        </w:rPr>
      </w:pPr>
      <w:r>
        <w:rPr>
          <w:rFonts w:ascii="黑体" w:eastAsia="黑体" w:hAnsi="宋体" w:hint="eastAsia"/>
          <w:bCs/>
          <w:color w:val="FF000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80" w:firstLineChars="200"/>
        <w:rPr>
          <w:rFonts w:ascii="黑体" w:eastAsia="黑体" w:hAnsi="宋体"/>
          <w:bCs/>
          <w:color w:val="FF0000"/>
          <w:szCs w:val="21"/>
        </w:rPr>
      </w:pPr>
      <w:r>
        <w:rPr>
          <w:rFonts w:ascii="黑体" w:eastAsia="黑体" w:hAnsi="宋体" w:hint="eastAsia"/>
          <w:bCs/>
          <w:color w:val="FF000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80" w:firstLineChars="200"/>
        <w:rPr>
          <w:rFonts w:ascii="黑体" w:eastAsia="黑体" w:hAnsi="宋体"/>
          <w:bCs/>
          <w:color w:val="FF0000"/>
          <w:szCs w:val="21"/>
        </w:rPr>
      </w:pPr>
      <w:r>
        <w:rPr>
          <w:rFonts w:ascii="黑体" w:eastAsia="黑体" w:hAnsi="宋体" w:hint="eastAsia"/>
          <w:bCs/>
          <w:color w:val="FF0000"/>
          <w:szCs w:val="21"/>
        </w:rPr>
        <w:t>（2）声明是残疾人福利性单位须填写《残疾人福利性单位声明函》的相关内容（填写位置的字体已加粗），具体参照以上《中小企业声明函》填写要求执行。</w:t>
      </w:r>
    </w:p>
    <w:p>
      <w:pPr>
        <w:ind w:firstLine="480" w:firstLineChars="200"/>
        <w:rPr>
          <w:rFonts w:ascii="黑体" w:eastAsia="黑体" w:hAnsi="宋体"/>
          <w:bCs/>
          <w:color w:val="FF0000"/>
          <w:szCs w:val="21"/>
        </w:rPr>
      </w:pPr>
      <w:r>
        <w:rPr>
          <w:rFonts w:ascii="黑体" w:eastAsia="黑体" w:hAnsi="宋体" w:hint="eastAsia"/>
          <w:bCs/>
          <w:color w:val="FF0000"/>
          <w:szCs w:val="21"/>
        </w:rPr>
        <w:t>（3）声明是监狱企业须填写《监狱企业声明函》的相关内容（填写位置的字体已加粗），具体参照以上《中小企业声明函》填写要求执行。</w:t>
      </w:r>
    </w:p>
    <w:p>
      <w:pPr>
        <w:ind w:firstLine="480" w:firstLineChars="200"/>
      </w:pPr>
      <w:r>
        <w:rPr>
          <w:rFonts w:ascii="黑体" w:eastAsia="黑体" w:hAnsi="宋体" w:hint="eastAsia"/>
          <w:bCs/>
          <w:color w:val="FF000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szCs w:val="21"/>
        </w:rPr>
        <w:t>（但不作投标无效处理）。</w:t>
      </w:r>
    </w:p>
    <w:p>
      <w:pPr>
        <w:ind w:firstLine="480" w:firstLineChars="200"/>
      </w:pPr>
    </w:p>
    <w:p>
      <w:pPr>
        <w:jc w:val="center"/>
        <w:outlineLvl w:val="3"/>
        <w:rPr>
          <w:b/>
        </w:rPr>
      </w:pPr>
      <w:r>
        <w:rPr>
          <w:rFonts w:hint="eastAsia"/>
          <w:b/>
        </w:rPr>
        <w:t>1、</w:t>
      </w:r>
      <w:r>
        <w:rPr>
          <w:b/>
        </w:rPr>
        <w:t>中小企业声明函（</w:t>
      </w:r>
      <w:r>
        <w:rPr>
          <w:rFonts w:hint="eastAsia"/>
          <w:b/>
        </w:rPr>
        <w:t>服务</w:t>
      </w:r>
      <w:r>
        <w:rPr>
          <w:b/>
        </w:rPr>
        <w:t xml:space="preserve">） </w:t>
      </w: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全部由符合政策要求的中小企业</w:t>
      </w:r>
      <w:r>
        <w:rPr>
          <w:rFonts w:ascii="宋体" w:hAnsi="宋体" w:hint="eastAsia"/>
          <w:szCs w:val="21"/>
        </w:rPr>
        <w:t>承接</w:t>
      </w:r>
      <w:r>
        <w:rPr>
          <w:rFonts w:ascii="宋体" w:hAnsi="宋体"/>
          <w:szCs w:val="21"/>
        </w:rPr>
        <w:t>。相关企业的具体情况如下：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8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80" w:firstLineChars="200"/>
        <w:rPr>
          <w:rFonts w:ascii="宋体" w:hAnsi="宋体"/>
          <w:bCs/>
          <w:color w:val="FF0000"/>
          <w:szCs w:val="21"/>
        </w:rPr>
      </w:pPr>
      <w:bookmarkStart w:id="40" w:name="_Hlk73562275"/>
      <w:r>
        <w:rPr>
          <w:rFonts w:hint="eastAsia"/>
        </w:rPr>
        <w:t>本</w:t>
      </w:r>
      <w:r>
        <w:t>投标人已知悉《政府采购促进中小企业发展管理办法》（财库〔2020〕 46号）、《中小企业划型标准规定》（工信部联企〔2011〕300号）、《统计上大中小微型企业划分办法（2017）》等规定，承诺提供的声明函内容是真实的，并知悉根据《政府采购促进中小企业发展管理办法》（财库〔2020〕46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0"/>
    </w:p>
    <w:p>
      <w:pPr>
        <w:ind w:firstLine="480" w:firstLineChars="200"/>
        <w:rPr>
          <w:rFonts w:ascii="宋体" w:hAnsi="宋体"/>
          <w:szCs w:val="21"/>
        </w:rPr>
      </w:pPr>
    </w:p>
    <w:p/>
    <w:p>
      <w:pPr>
        <w:ind w:firstLine="480" w:firstLineChars="200"/>
      </w:pPr>
    </w:p>
    <w:p>
      <w:pPr>
        <w:jc w:val="center"/>
        <w:outlineLvl w:val="3"/>
        <w:rPr>
          <w:b/>
        </w:rPr>
      </w:pPr>
      <w:r>
        <w:rPr>
          <w:rFonts w:hint="eastAsia"/>
          <w:b/>
        </w:rPr>
        <w:t>2、残疾人福利性单位声明函（服务类）</w:t>
      </w:r>
    </w:p>
    <w:p>
      <w:pPr>
        <w:rPr>
          <w:b/>
          <w:bCs/>
        </w:rPr>
      </w:pP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残疾人福利性单位承接</w:t>
      </w:r>
      <w:r>
        <w:rPr>
          <w:rFonts w:ascii="宋体" w:hAnsi="宋体"/>
          <w:szCs w:val="21"/>
        </w:rPr>
        <w:t>。相关</w:t>
      </w:r>
      <w:r>
        <w:rPr>
          <w:rFonts w:ascii="宋体" w:hAnsi="宋体" w:hint="eastAsia"/>
          <w:szCs w:val="21"/>
        </w:rPr>
        <w:t>残疾人福利性单位</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hint="eastAsia"/>
        </w:rPr>
        <w:t>本</w:t>
      </w:r>
      <w:r>
        <w:t>投标人</w:t>
      </w:r>
      <w:r>
        <w:rPr>
          <w:rFonts w:hint="eastAsia"/>
        </w:rPr>
        <w:t>已</w:t>
      </w:r>
      <w:r>
        <w:t>知悉</w:t>
      </w:r>
      <w:r>
        <w:rPr>
          <w:rFonts w:hint="eastAsia"/>
        </w:rPr>
        <w:t>《财政部民政部中国残疾人联合会关于促进残疾人就业政府采购政策的通知》（财库〔2017〕141号）</w:t>
      </w:r>
      <w:r>
        <w:t>的规定，承诺提供的声明函内容是真实的，如提供声明函内容不实，则依法追究相关法律责任</w:t>
      </w:r>
      <w:r>
        <w:rPr>
          <w:rFonts w:hint="eastAsia"/>
        </w:rPr>
        <w:t>。</w:t>
      </w:r>
    </w:p>
    <w:p>
      <w:pPr>
        <w:ind w:firstLine="480" w:firstLineChars="200"/>
        <w:rPr>
          <w:rFonts w:ascii="宋体" w:hAnsi="宋体"/>
          <w:szCs w:val="21"/>
        </w:rPr>
      </w:pPr>
    </w:p>
    <w:p>
      <w:pPr>
        <w:ind w:firstLine="480" w:firstLineChars="200"/>
        <w:rPr>
          <w:rFonts w:ascii="宋体" w:hAnsi="宋体"/>
          <w:szCs w:val="21"/>
        </w:rPr>
      </w:pPr>
    </w:p>
    <w:p>
      <w:pPr>
        <w:jc w:val="center"/>
        <w:outlineLvl w:val="3"/>
        <w:rPr>
          <w:b/>
        </w:rPr>
      </w:pPr>
      <w:r>
        <w:rPr>
          <w:rFonts w:hint="eastAsia"/>
          <w:b/>
        </w:rPr>
        <w:t>3、监狱企业声明函【服务类，监狱企业如需享受优惠政策，还须另行提供省级以上监狱管理局、戒毒管理局（含新疆生产建设兵团）出具的监狱企业证明文件】</w:t>
      </w:r>
    </w:p>
    <w:p>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ind w:left="723" w:hanging="720" w:hangingChars="300"/>
        <w:rPr>
          <w:b/>
        </w:rPr>
      </w:pPr>
    </w:p>
    <w:p>
      <w:pPr>
        <w:ind w:left="723" w:hanging="720" w:hangingChars="300"/>
        <w:rPr>
          <w:b/>
        </w:rPr>
      </w:pPr>
    </w:p>
    <w:p>
      <w:pPr>
        <w:pStyle w:val="Heading2"/>
        <w:rPr>
          <w:rFonts w:ascii="黑体" w:eastAsia="黑体"/>
          <w:szCs w:val="24"/>
        </w:rPr>
      </w:pPr>
      <w:r>
        <w:rPr>
          <w:rFonts w:ascii="黑体" w:eastAsia="黑体" w:hint="eastAsia"/>
          <w:szCs w:val="24"/>
        </w:rPr>
        <w:t>四、项目详细报价</w:t>
      </w:r>
    </w:p>
    <w:p>
      <w:pPr>
        <w:tabs>
          <w:tab w:val="left" w:pos="720"/>
        </w:tabs>
        <w:ind w:firstLine="3120" w:firstLineChars="1300"/>
        <w:rPr>
          <w:b/>
        </w:rPr>
      </w:pPr>
      <w:r>
        <w:rPr>
          <w:rFonts w:hint="eastAsia"/>
          <w:b/>
        </w:rPr>
        <w:t>（一）分项报价表</w:t>
      </w:r>
    </w:p>
    <w:tbl>
      <w:tblPr>
        <w:tblStyle w:val="TableNormal"/>
        <w:tblW w:w="8613" w:type="dxa"/>
        <w:tblInd w:w="0" w:type="dxa"/>
        <w:tblCellMar>
          <w:top w:w="0" w:type="dxa"/>
          <w:left w:w="108" w:type="dxa"/>
          <w:bottom w:w="0" w:type="dxa"/>
          <w:right w:w="108" w:type="dxa"/>
        </w:tblCellMar>
      </w:tblPr>
      <w:tblGrid>
        <w:gridCol w:w="618"/>
        <w:gridCol w:w="1016"/>
        <w:gridCol w:w="3152"/>
        <w:gridCol w:w="1559"/>
        <w:gridCol w:w="2268"/>
      </w:tblGrid>
      <w:tr>
        <w:tblPrEx>
          <w:tblW w:w="8613" w:type="dxa"/>
          <w:tblInd w:w="0" w:type="dxa"/>
          <w:tblCellMar>
            <w:top w:w="0" w:type="dxa"/>
            <w:left w:w="108" w:type="dxa"/>
            <w:bottom w:w="0" w:type="dxa"/>
            <w:right w:w="108" w:type="dxa"/>
          </w:tblCellMar>
        </w:tblPrEx>
        <w:trPr>
          <w:trHeight w:val="285"/>
        </w:trPr>
        <w:tc>
          <w:tcPr>
            <w:tcW w:w="0" w:type="auto"/>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说明</w:t>
            </w:r>
          </w:p>
        </w:tc>
      </w:tr>
      <w:tr>
        <w:tblPrEx>
          <w:tblW w:w="8613" w:type="dxa"/>
          <w:tblInd w:w="0" w:type="dxa"/>
          <w:tblCellMar>
            <w:top w:w="0" w:type="dxa"/>
            <w:left w:w="108" w:type="dxa"/>
            <w:bottom w:w="0" w:type="dxa"/>
            <w:right w:w="108" w:type="dxa"/>
          </w:tblCellMar>
        </w:tblPrEx>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single" w:sz="4" w:space="0" w:color="auto"/>
              <w:left w:val="nil"/>
              <w:bottom w:val="single" w:sz="4" w:space="0" w:color="auto"/>
              <w:right w:val="single" w:sz="8" w:space="0" w:color="auto"/>
            </w:tcBorders>
            <w:shd w:val="clear" w:color="auto" w:fill="auto"/>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480"/>
        </w:trPr>
        <w:tc>
          <w:tcPr>
            <w:tcW w:w="0" w:type="auto"/>
            <w:vMerge w:val="restart"/>
            <w:tcBorders>
              <w:top w:val="nil"/>
              <w:left w:val="single" w:sz="8"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费用</w:t>
            </w: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val="restart"/>
            <w:tcBorders>
              <w:top w:val="nil"/>
              <w:left w:val="nil"/>
              <w:right w:val="single" w:sz="8" w:space="0" w:color="auto"/>
            </w:tcBorders>
            <w:shd w:val="clear" w:color="auto" w:fill="auto"/>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bottom w:val="single" w:sz="4" w:space="0" w:color="auto"/>
              <w:right w:val="single" w:sz="8" w:space="0" w:color="auto"/>
            </w:tcBorders>
            <w:shd w:val="clear" w:color="auto" w:fill="auto"/>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vMerge w:val="restart"/>
            <w:tcBorders>
              <w:top w:val="nil"/>
              <w:left w:val="single" w:sz="8"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三</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其他费用</w:t>
            </w: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000000" w:fill="FFFFFF"/>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其他费用小计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税金</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b/>
                <w:bCs/>
                <w:kern w:val="0"/>
                <w:sz w:val="20"/>
                <w:szCs w:val="20"/>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合计(元)</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b/>
                <w:bCs/>
                <w:kern w:val="0"/>
                <w:sz w:val="20"/>
                <w:szCs w:val="20"/>
              </w:rPr>
            </w:pPr>
            <w:r>
              <w:rPr>
                <w:rFonts w:ascii="宋体" w:hAnsi="宋体" w:cs="宋体" w:hint="eastAsia"/>
                <w:b/>
                <w:bCs/>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　以上各项之和</w:t>
            </w:r>
          </w:p>
        </w:tc>
      </w:tr>
    </w:tbl>
    <w:p>
      <w:pPr>
        <w:ind w:firstLine="480" w:firstLineChars="200"/>
        <w:rPr>
          <w:rFonts w:hAnsi="宋体"/>
          <w:b/>
          <w:bCs/>
        </w:rPr>
      </w:pPr>
    </w:p>
    <w:p>
      <w:pPr>
        <w:ind w:firstLine="480" w:firstLineChars="200"/>
        <w:rPr>
          <w:rFonts w:hAnsi="宋体"/>
          <w:b/>
          <w:bCs/>
        </w:rPr>
      </w:pPr>
    </w:p>
    <w:p>
      <w:pPr>
        <w:tabs>
          <w:tab w:val="left" w:pos="720"/>
        </w:tabs>
        <w:jc w:val="center"/>
        <w:rPr>
          <w:b/>
        </w:rPr>
      </w:pPr>
      <w:r>
        <w:rPr>
          <w:rFonts w:hint="eastAsia"/>
          <w:b/>
        </w:rPr>
        <w:t>（二）</w:t>
      </w:r>
      <w:bookmarkStart w:id="41" w:name="_Hlk72073235"/>
      <w:r>
        <w:rPr>
          <w:rFonts w:hint="eastAsia"/>
          <w:b/>
        </w:rPr>
        <w:t>投标人认为需要涉及的其他内容报价清单</w:t>
      </w:r>
      <w:bookmarkEnd w:id="41"/>
    </w:p>
    <w:p>
      <w:pPr>
        <w:rPr>
          <w:b/>
          <w:bCs/>
        </w:rPr>
      </w:pPr>
    </w:p>
    <w:p>
      <w:pPr>
        <w:pStyle w:val="Heading2"/>
        <w:rPr>
          <w:rFonts w:ascii="黑体" w:eastAsia="黑体"/>
          <w:szCs w:val="24"/>
        </w:rPr>
      </w:pPr>
      <w:r>
        <w:rPr>
          <w:rFonts w:ascii="黑体" w:eastAsia="黑体" w:hint="eastAsia"/>
          <w:szCs w:val="24"/>
        </w:rPr>
        <w:t>五、评审因素（公开部分）</w:t>
      </w:r>
    </w:p>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szCs w:val="21"/>
        </w:rPr>
        <w:t>投标人通过相关认证情况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hAnsi="宋体" w:hint="eastAsia"/>
          <w:szCs w:val="21"/>
        </w:rPr>
        <w:t>投标人同类项目业绩情况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宋体" w:hAnsi="宋体" w:hint="eastAsia"/>
          <w:szCs w:val="21"/>
        </w:rPr>
        <w:t>投标人获奖情况</w:t>
      </w:r>
    </w:p>
    <w:p>
      <w:pPr>
        <w:pStyle w:val="BodyText"/>
      </w:pPr>
    </w:p>
    <w:p>
      <w:pPr>
        <w:rPr>
          <w:rFonts w:eastAsia="宋体"/>
          <w:b/>
          <w:bCs/>
          <w:color w:val="000000" w:themeColor="text1"/>
        </w:rPr>
      </w:pPr>
      <w:r>
        <w:rPr>
          <w:rFonts w:hint="eastAsia"/>
          <w:b/>
          <w:bCs/>
          <w:color w:val="000000" w:themeColor="text1"/>
        </w:rPr>
        <w:t>特别提示：</w:t>
      </w:r>
      <w:r>
        <w:rPr>
          <w:rFonts w:eastAsia="宋体" w:hint="eastAsia"/>
          <w:b/>
          <w:bCs/>
          <w:color w:val="000000" w:themeColor="text1"/>
        </w:rPr>
        <w:t>以上评审事项内容</w:t>
      </w:r>
      <w:r>
        <w:rPr>
          <w:rFonts w:hint="eastAsia"/>
          <w:b/>
          <w:bCs/>
          <w:color w:val="000000" w:themeColor="text1"/>
        </w:rPr>
        <w:t>投标人须按本招标文件评标信息中 评审因素要求，提供详细的证明资料</w:t>
      </w:r>
      <w:r>
        <w:rPr>
          <w:rFonts w:eastAsia="宋体" w:hint="eastAsia"/>
          <w:b/>
          <w:bCs/>
          <w:color w:val="000000" w:themeColor="text1"/>
        </w:rPr>
        <w:t>，未提供或提供的不清晰或评委无法辨别的按按不得分处理；</w:t>
      </w:r>
    </w:p>
    <w:p/>
    <w:p>
      <w:pPr>
        <w:pStyle w:val="BodyText"/>
      </w:pPr>
    </w:p>
    <w:p>
      <w:pPr>
        <w:rPr>
          <w:b/>
          <w:color w:val="FF0000"/>
          <w:sz w:val="28"/>
          <w:szCs w:val="28"/>
        </w:rPr>
      </w:pPr>
      <w:r>
        <w:rPr>
          <w:rFonts w:hint="eastAsia"/>
          <w:b/>
          <w:color w:val="FF0000"/>
          <w:sz w:val="28"/>
          <w:szCs w:val="28"/>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outlineLvl w:val="1"/>
        <w:rPr>
          <w:rFonts w:ascii="宋体" w:hAnsi="宋体"/>
          <w:b/>
          <w:color w:val="FF0000"/>
          <w:sz w:val="28"/>
          <w:szCs w:val="28"/>
        </w:rPr>
      </w:pPr>
      <w:r>
        <w:rPr>
          <w:rFonts w:ascii="宋体" w:hAnsi="宋体" w:hint="eastAsia"/>
          <w:b/>
          <w:color w:val="FF0000"/>
          <w:sz w:val="28"/>
          <w:szCs w:val="28"/>
        </w:rPr>
        <w:t>投标文件附件（信息不公开部分）</w:t>
      </w:r>
    </w:p>
    <w:p>
      <w:pPr>
        <w:pStyle w:val="Heading2"/>
        <w:rPr>
          <w:rFonts w:ascii="黑体" w:eastAsia="黑体"/>
        </w:rPr>
      </w:pPr>
      <w:r>
        <w:rPr>
          <w:rFonts w:ascii="黑体" w:eastAsia="黑体" w:hint="eastAsia"/>
        </w:rPr>
        <w:t>一、</w:t>
      </w:r>
      <w:bookmarkStart w:id="42" w:name="_Hlk72092499"/>
      <w:r>
        <w:rPr>
          <w:rFonts w:ascii="黑体" w:eastAsia="黑体" w:hint="eastAsia"/>
        </w:rPr>
        <w:t>法定代表人（负责人）证明书</w:t>
      </w:r>
      <w:bookmarkEnd w:id="42"/>
    </w:p>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spacing w:line="360" w:lineRule="auto"/>
        <w:ind w:firstLine="480" w:firstLineChars="200"/>
        <w:rPr>
          <w:b/>
          <w:color w:val="FF0000"/>
          <w:szCs w:val="21"/>
        </w:rPr>
      </w:pPr>
      <w:r>
        <w:rPr>
          <w:rFonts w:hint="eastAsia"/>
          <w:b/>
          <w:color w:val="FF0000"/>
          <w:szCs w:val="21"/>
        </w:rPr>
        <w:t>附： 请提供身份证扫描件（正反两面）；非中国国籍管辖范围人员，可提供公安部门认可的身份证明材料扫描件。</w:t>
      </w:r>
    </w:p>
    <w:p/>
    <w:p>
      <w:pPr>
        <w:rPr>
          <w:b/>
          <w:bCs/>
        </w:rPr>
      </w:pPr>
    </w:p>
    <w:p>
      <w:pPr>
        <w:pStyle w:val="Heading2"/>
        <w:rPr>
          <w:rFonts w:ascii="黑体" w:eastAsia="黑体"/>
        </w:rPr>
      </w:pPr>
      <w:r>
        <w:rPr>
          <w:rFonts w:ascii="黑体" w:eastAsia="黑体" w:hint="eastAsia"/>
        </w:rPr>
        <w:t>二、投标文件签署授权委托书</w:t>
      </w:r>
    </w:p>
    <w:p>
      <w:pPr>
        <w:spacing w:line="360" w:lineRule="auto"/>
        <w:ind w:firstLine="48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spacing w:line="360" w:lineRule="auto"/>
        <w:ind w:left="617" w:leftChars="257"/>
        <w:rPr>
          <w:szCs w:val="21"/>
          <w:u w:val="single"/>
        </w:rPr>
      </w:pPr>
      <w:r>
        <w:rPr>
          <w:rFonts w:hint="eastAsia"/>
          <w:szCs w:val="21"/>
        </w:rPr>
        <w:t>代理人：</w:t>
      </w:r>
      <w:r>
        <w:rPr>
          <w:rFonts w:hint="eastAsia"/>
          <w:szCs w:val="21"/>
          <w:u w:val="single"/>
        </w:rPr>
        <w:t xml:space="preserve">             </w:t>
      </w:r>
    </w:p>
    <w:p>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80" w:firstLineChars="200"/>
        <w:rPr>
          <w:b/>
          <w:color w:val="FF0000"/>
          <w:szCs w:val="21"/>
        </w:rPr>
      </w:pPr>
      <w:r>
        <w:rPr>
          <w:rFonts w:hint="eastAsia"/>
          <w:b/>
          <w:color w:val="FF0000"/>
          <w:szCs w:val="21"/>
        </w:rPr>
        <w:t>附： 请提供身份证扫描件（正反两面）；非中国国籍管辖范围人员，可提供公安部门认可的身份证明材料扫描件。</w:t>
      </w:r>
    </w:p>
    <w:p>
      <w:pPr>
        <w:spacing w:line="360" w:lineRule="auto"/>
        <w:rPr>
          <w:b/>
          <w:szCs w:val="21"/>
        </w:rPr>
      </w:pPr>
    </w:p>
    <w:p>
      <w:pPr>
        <w:rPr>
          <w:b/>
          <w:bCs/>
        </w:rPr>
      </w:pPr>
    </w:p>
    <w:p>
      <w:pPr>
        <w:pStyle w:val="Heading2"/>
        <w:rPr>
          <w:rFonts w:ascii="黑体" w:eastAsia="黑体" w:hAnsi="宋体"/>
          <w:szCs w:val="24"/>
        </w:rPr>
      </w:pPr>
      <w:r>
        <w:rPr>
          <w:rFonts w:ascii="黑体" w:eastAsia="黑体" w:hAnsi="宋体" w:hint="eastAsia"/>
          <w:szCs w:val="24"/>
        </w:rPr>
        <w:t>三、评审因素资料（不公开部分）</w:t>
      </w:r>
    </w:p>
    <w:p>
      <w:pPr>
        <w:ind w:left="723" w:hanging="720" w:hangingChars="300"/>
        <w:rPr>
          <w:b/>
          <w:bCs/>
        </w:rPr>
      </w:pPr>
    </w:p>
    <w:p>
      <w:pPr>
        <w:outlineLvl w:val="2"/>
        <w:rPr>
          <w:b/>
        </w:rPr>
      </w:pPr>
      <w:r>
        <w:rPr>
          <w:rFonts w:eastAsia="宋体" w:hAnsi="宋体" w:hint="eastAsia"/>
          <w:color w:val="000000"/>
          <w:sz w:val="21"/>
          <w:szCs w:val="21"/>
        </w:rPr>
        <w:t>1）</w:t>
      </w:r>
      <w:r>
        <w:rPr>
          <w:rFonts w:ascii="宋体" w:hAnsi="宋体" w:hint="eastAsia"/>
          <w:szCs w:val="21"/>
        </w:rPr>
        <w:t>实施方案</w:t>
      </w:r>
    </w:p>
    <w:p>
      <w:pPr>
        <w:outlineLvl w:val="2"/>
        <w:rPr>
          <w:b/>
        </w:rPr>
      </w:pPr>
      <w:r>
        <w:rPr>
          <w:rFonts w:eastAsia="宋体" w:hAnsi="宋体" w:hint="eastAsia"/>
          <w:color w:val="000000"/>
          <w:sz w:val="21"/>
          <w:szCs w:val="21"/>
        </w:rPr>
        <w:t>2）</w:t>
      </w:r>
      <w:r>
        <w:rPr>
          <w:rFonts w:ascii="宋体" w:hAnsi="宋体" w:hint="eastAsia"/>
          <w:szCs w:val="21"/>
        </w:rPr>
        <w:t>IND申报时限</w:t>
      </w:r>
    </w:p>
    <w:p>
      <w:pPr>
        <w:outlineLvl w:val="2"/>
        <w:rPr>
          <w:b/>
        </w:rPr>
      </w:pPr>
      <w:r>
        <w:rPr>
          <w:rFonts w:eastAsia="宋体" w:hAnsi="宋体" w:hint="eastAsia"/>
          <w:color w:val="000000"/>
          <w:sz w:val="21"/>
          <w:szCs w:val="21"/>
        </w:rPr>
        <w:t>3）</w:t>
      </w:r>
      <w:r>
        <w:rPr>
          <w:rFonts w:ascii="宋体" w:hAnsi="宋体" w:hint="eastAsia"/>
          <w:szCs w:val="21"/>
        </w:rPr>
        <w:t>质量及售后保障措施及方案</w:t>
      </w:r>
    </w:p>
    <w:p>
      <w:pPr>
        <w:outlineLvl w:val="2"/>
        <w:rPr>
          <w:rFonts w:eastAsia="宋体" w:hAnsi="宋体"/>
          <w:color w:val="000000"/>
          <w:sz w:val="21"/>
          <w:szCs w:val="21"/>
        </w:rPr>
      </w:pPr>
      <w:r>
        <w:rPr>
          <w:rFonts w:eastAsia="宋体" w:hAnsi="宋体" w:hint="eastAsia"/>
          <w:color w:val="000000"/>
          <w:sz w:val="21"/>
          <w:szCs w:val="21"/>
        </w:rPr>
        <w:t>4）</w:t>
      </w:r>
      <w:r>
        <w:rPr>
          <w:rFonts w:ascii="宋体" w:hAnsi="宋体" w:hint="eastAsia"/>
          <w:szCs w:val="21"/>
        </w:rPr>
        <w:t>项目完成（服务期满）后的服务承诺</w:t>
      </w:r>
    </w:p>
    <w:p>
      <w:pPr>
        <w:outlineLvl w:val="2"/>
      </w:pPr>
      <w:r>
        <w:rPr>
          <w:rFonts w:eastAsia="宋体" w:hAnsi="宋体" w:hint="eastAsia"/>
          <w:color w:val="000000"/>
          <w:sz w:val="21"/>
          <w:szCs w:val="21"/>
        </w:rPr>
        <w:t>5）</w:t>
      </w:r>
      <w:r>
        <w:rPr>
          <w:rFonts w:ascii="宋体" w:hAnsi="宋体" w:hint="eastAsia"/>
          <w:szCs w:val="21"/>
        </w:rPr>
        <w:t>违约承诺</w:t>
      </w:r>
    </w:p>
    <w:p>
      <w:pPr>
        <w:snapToGrid w:val="0"/>
        <w:jc w:val="both"/>
        <w:rPr>
          <w:rFonts w:ascii="宋体" w:hAnsi="宋体"/>
          <w:szCs w:val="21"/>
        </w:rPr>
      </w:pPr>
      <w:r>
        <w:rPr>
          <w:rFonts w:eastAsia="宋体" w:hAnsi="宋体" w:hint="eastAsia"/>
          <w:color w:val="000000"/>
          <w:sz w:val="21"/>
          <w:szCs w:val="21"/>
        </w:rPr>
        <w:t>6）</w:t>
      </w:r>
      <w:r>
        <w:rPr>
          <w:rFonts w:ascii="宋体" w:hAnsi="宋体" w:hint="eastAsia"/>
          <w:szCs w:val="21"/>
        </w:rPr>
        <w:t>拟安排的项目负责人情况（仅限一人）</w:t>
      </w:r>
    </w:p>
    <w:p>
      <w:pPr>
        <w:snapToGrid w:val="0"/>
        <w:jc w:val="both"/>
      </w:pPr>
      <w:r>
        <w:rPr>
          <w:rFonts w:eastAsia="宋体" w:hAnsi="宋体" w:hint="eastAsia"/>
          <w:color w:val="000000"/>
          <w:sz w:val="21"/>
          <w:szCs w:val="21"/>
        </w:rPr>
        <w:t>7）本</w:t>
      </w:r>
      <w:r>
        <w:rPr>
          <w:rFonts w:ascii="宋体" w:hAnsi="宋体" w:hint="eastAsia"/>
          <w:szCs w:val="21"/>
        </w:rPr>
        <w:t>拟安排的项目主要团队成员（主要技术人员）情况（项目负责人除外）</w:t>
      </w:r>
    </w:p>
    <w:p>
      <w:pPr>
        <w:rPr>
          <w:rFonts w:eastAsia="宋体"/>
          <w:b/>
          <w:bCs/>
          <w:color w:val="FF0000"/>
        </w:rPr>
      </w:pPr>
      <w:r>
        <w:rPr>
          <w:rFonts w:hint="eastAsia"/>
          <w:b/>
          <w:bCs/>
          <w:color w:val="FF0000"/>
        </w:rPr>
        <w:t>特别提示：</w:t>
      </w:r>
      <w:r>
        <w:rPr>
          <w:rFonts w:eastAsia="宋体" w:hint="eastAsia"/>
          <w:b/>
          <w:bCs/>
          <w:color w:val="FF0000"/>
        </w:rPr>
        <w:t>以上评审事项内容</w:t>
      </w:r>
      <w:r>
        <w:rPr>
          <w:rFonts w:hint="eastAsia"/>
          <w:b/>
          <w:bCs/>
          <w:color w:val="FF0000"/>
        </w:rPr>
        <w:t>投标人须按本招标文件评标信息中 评审因素要求，提供详细的证明资料</w:t>
      </w:r>
      <w:r>
        <w:rPr>
          <w:rFonts w:eastAsia="宋体" w:hint="eastAsia"/>
          <w:b/>
          <w:bCs/>
          <w:color w:val="FF0000"/>
        </w:rPr>
        <w:t>，未提供或提供的不清晰或评委无法辨别的按按不得分处理；</w:t>
      </w:r>
    </w:p>
    <w:p>
      <w:pPr>
        <w:pStyle w:val="BodyText"/>
      </w:pPr>
    </w:p>
    <w:p>
      <w:pPr>
        <w:pStyle w:val="Heading2"/>
        <w:rPr>
          <w:rFonts w:ascii="黑体" w:eastAsia="黑体"/>
        </w:rPr>
      </w:pPr>
      <w:r>
        <w:rPr>
          <w:rFonts w:ascii="黑体" w:eastAsia="黑体" w:hint="eastAsia"/>
        </w:rPr>
        <w:t>四、</w:t>
      </w:r>
      <w:bookmarkStart w:id="43" w:name="_Hlk72062872"/>
      <w:r>
        <w:rPr>
          <w:rFonts w:ascii="黑体" w:eastAsia="黑体" w:hint="eastAsia"/>
        </w:rPr>
        <w:t>投标人认为需要加以说明的其他内容</w:t>
      </w:r>
      <w:bookmarkEnd w:id="43"/>
    </w:p>
    <w:p>
      <w:pPr>
        <w:jc w:val="center"/>
        <w:rPr>
          <w:b/>
          <w:sz w:val="32"/>
          <w:szCs w:val="32"/>
        </w:rPr>
      </w:pPr>
    </w:p>
    <w:p>
      <w:pPr>
        <w:ind w:firstLine="485" w:firstLineChars="202"/>
        <w:rPr>
          <w:rFonts w:ascii="宋体" w:hAnsi="宋体"/>
          <w:szCs w:val="21"/>
        </w:rPr>
      </w:pPr>
    </w:p>
    <w:p>
      <w:pPr>
        <w:jc w:val="center"/>
        <w:rPr>
          <w:rFonts w:ascii="黑体" w:eastAsia="黑体" w:hAnsi="宋体"/>
          <w:bCs/>
        </w:rPr>
      </w:pPr>
    </w:p>
    <w:p>
      <w:pPr>
        <w:pStyle w:val="Heading2"/>
        <w:rPr>
          <w:rFonts w:ascii="黑体" w:eastAsia="黑体"/>
        </w:rPr>
      </w:pPr>
      <w:r>
        <w:rPr>
          <w:rFonts w:ascii="黑体" w:eastAsia="黑体" w:hint="eastAsia"/>
        </w:rPr>
        <w:t>五、</w:t>
      </w:r>
      <w:bookmarkStart w:id="44" w:name="_Hlk72092634"/>
      <w:r>
        <w:rPr>
          <w:rFonts w:ascii="黑体" w:eastAsia="黑体" w:hint="eastAsia"/>
        </w:rPr>
        <w:t>实质性条款响应情况表</w:t>
      </w:r>
      <w:bookmarkEnd w:id="44"/>
    </w:p>
    <w:tbl>
      <w:tblPr>
        <w:tblStyle w:val="TableNormal"/>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2664"/>
        <w:gridCol w:w="1588"/>
        <w:gridCol w:w="1842"/>
        <w:gridCol w:w="1418"/>
      </w:tblGrid>
      <w:tr>
        <w:tblPrEx>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1"/>
        </w:trPr>
        <w:tc>
          <w:tcPr>
            <w:tcW w:w="705" w:type="dxa"/>
            <w:vAlign w:val="center"/>
          </w:tcPr>
          <w:p>
            <w:pPr>
              <w:adjustRightInd w:val="0"/>
              <w:snapToGrid w:val="0"/>
              <w:spacing w:line="360" w:lineRule="auto"/>
              <w:jc w:val="center"/>
              <w:rPr>
                <w:rFonts w:ascii="宋体" w:hAnsi="宋体"/>
                <w:szCs w:val="21"/>
              </w:rPr>
            </w:pPr>
            <w:bookmarkStart w:id="45" w:name="_Hlk72092651"/>
            <w:r>
              <w:rPr>
                <w:rFonts w:ascii="宋体" w:hAnsi="宋体" w:hint="eastAsia"/>
                <w:szCs w:val="21"/>
              </w:rPr>
              <w:t>序号</w:t>
            </w:r>
          </w:p>
        </w:tc>
        <w:tc>
          <w:tcPr>
            <w:tcW w:w="2664" w:type="dxa"/>
            <w:vAlign w:val="center"/>
          </w:tcPr>
          <w:p>
            <w:pPr>
              <w:adjustRightInd w:val="0"/>
              <w:snapToGrid w:val="0"/>
              <w:spacing w:line="360" w:lineRule="auto"/>
              <w:jc w:val="center"/>
              <w:rPr>
                <w:rFonts w:ascii="宋体" w:hAnsi="宋体"/>
                <w:szCs w:val="21"/>
              </w:rPr>
            </w:pPr>
            <w:r>
              <w:rPr>
                <w:rFonts w:ascii="宋体" w:hAnsi="宋体" w:hint="eastAsia"/>
                <w:szCs w:val="21"/>
              </w:rPr>
              <w:t>实质性条款具体内容</w:t>
            </w:r>
          </w:p>
        </w:tc>
        <w:tc>
          <w:tcPr>
            <w:tcW w:w="1588" w:type="dxa"/>
            <w:vAlign w:val="center"/>
          </w:tcPr>
          <w:p>
            <w:pPr>
              <w:adjustRightInd w:val="0"/>
              <w:snapToGrid w:val="0"/>
              <w:spacing w:line="360" w:lineRule="auto"/>
              <w:jc w:val="center"/>
              <w:rPr>
                <w:rFonts w:ascii="宋体" w:hAnsi="宋体"/>
                <w:szCs w:val="21"/>
              </w:rPr>
            </w:pPr>
            <w:r>
              <w:rPr>
                <w:rFonts w:hint="eastAsia"/>
              </w:rPr>
              <w:t>投标响应</w:t>
            </w:r>
          </w:p>
        </w:tc>
        <w:tc>
          <w:tcPr>
            <w:tcW w:w="1842" w:type="dxa"/>
            <w:vAlign w:val="center"/>
          </w:tcPr>
          <w:p>
            <w:pPr>
              <w:adjustRightInd w:val="0"/>
              <w:snapToGrid w:val="0"/>
              <w:spacing w:line="360" w:lineRule="auto"/>
              <w:jc w:val="center"/>
              <w:rPr>
                <w:rFonts w:ascii="宋体" w:hAnsi="宋体"/>
                <w:szCs w:val="21"/>
              </w:rPr>
            </w:pPr>
            <w:r>
              <w:rPr>
                <w:rFonts w:hint="eastAsia"/>
              </w:rPr>
              <w:t>偏离情况</w:t>
            </w:r>
          </w:p>
        </w:tc>
        <w:tc>
          <w:tcPr>
            <w:tcW w:w="1418" w:type="dxa"/>
            <w:vAlign w:val="center"/>
          </w:tcPr>
          <w:p>
            <w:pPr>
              <w:adjustRightInd w:val="0"/>
              <w:snapToGrid w:val="0"/>
              <w:spacing w:line="360" w:lineRule="auto"/>
              <w:jc w:val="center"/>
              <w:rPr>
                <w:rFonts w:ascii="宋体" w:hAnsi="宋体"/>
                <w:szCs w:val="21"/>
              </w:rPr>
            </w:pPr>
            <w:r>
              <w:rPr>
                <w:rFonts w:hint="eastAsia"/>
              </w:rPr>
              <w:t>说明</w:t>
            </w:r>
          </w:p>
        </w:tc>
      </w:tr>
      <w:tr>
        <w:tblPrEx>
          <w:tblW w:w="8217"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szCs w:val="21"/>
              </w:rPr>
            </w:pPr>
            <w:bookmarkEnd w:id="45"/>
            <w:r>
              <w:rPr>
                <w:rFonts w:ascii="宋体" w:hAnsi="宋体" w:hint="eastAsia"/>
                <w:szCs w:val="21"/>
              </w:rPr>
              <w:t>1</w:t>
            </w:r>
          </w:p>
        </w:tc>
        <w:tc>
          <w:tcPr>
            <w:tcW w:w="2664" w:type="dxa"/>
          </w:tcPr>
          <w:p>
            <w:pPr>
              <w:adjustRightInd w:val="0"/>
              <w:snapToGrid w:val="0"/>
              <w:rPr>
                <w:rFonts w:ascii="宋体" w:hAnsi="宋体"/>
                <w:szCs w:val="21"/>
              </w:rPr>
            </w:pPr>
            <w:r>
              <w:rPr>
                <w:rFonts w:ascii="宋体" w:eastAsia="宋体" w:hAnsi="宋体" w:hint="eastAsia"/>
                <w:szCs w:val="21"/>
              </w:rPr>
              <w:t>★</w:t>
            </w:r>
            <w:r>
              <w:rPr>
                <w:rFonts w:ascii="宋体" w:hAnsi="宋体" w:hint="eastAsia"/>
                <w:szCs w:val="21"/>
              </w:rPr>
              <w:t>（四）项目采购范围</w:t>
            </w:r>
          </w:p>
        </w:tc>
        <w:tc>
          <w:tcPr>
            <w:tcW w:w="1588" w:type="dxa"/>
          </w:tcPr>
          <w:p>
            <w:pPr>
              <w:adjustRightInd w:val="0"/>
              <w:snapToGrid w:val="0"/>
              <w:spacing w:line="360" w:lineRule="auto"/>
              <w:rPr>
                <w:rFonts w:ascii="宋体" w:hAnsi="宋体"/>
                <w:szCs w:val="21"/>
              </w:rPr>
            </w:pPr>
          </w:p>
        </w:tc>
        <w:tc>
          <w:tcPr>
            <w:tcW w:w="1842" w:type="dxa"/>
          </w:tcPr>
          <w:p>
            <w:pPr>
              <w:adjustRightInd w:val="0"/>
              <w:snapToGrid w:val="0"/>
              <w:spacing w:line="360" w:lineRule="auto"/>
              <w:rPr>
                <w:rFonts w:ascii="宋体" w:hAnsi="宋体"/>
                <w:szCs w:val="21"/>
              </w:rPr>
            </w:pPr>
          </w:p>
        </w:tc>
        <w:tc>
          <w:tcPr>
            <w:tcW w:w="1418" w:type="dxa"/>
          </w:tcPr>
          <w:p>
            <w:pPr>
              <w:adjustRightInd w:val="0"/>
              <w:snapToGrid w:val="0"/>
              <w:spacing w:line="360" w:lineRule="auto"/>
              <w:rPr>
                <w:rFonts w:ascii="宋体" w:hAnsi="宋体"/>
                <w:szCs w:val="21"/>
              </w:rPr>
            </w:pPr>
          </w:p>
        </w:tc>
      </w:tr>
    </w:tbl>
    <w:p>
      <w:pPr>
        <w:ind w:firstLine="480" w:firstLineChars="200"/>
        <w:rPr>
          <w:b/>
          <w:szCs w:val="22"/>
        </w:rPr>
      </w:pPr>
    </w:p>
    <w:p>
      <w:pPr>
        <w:ind w:firstLine="480" w:firstLineChars="200"/>
        <w:rPr>
          <w:b/>
          <w:szCs w:val="22"/>
        </w:rPr>
      </w:pPr>
      <w:r>
        <w:rPr>
          <w:rFonts w:hint="eastAsia"/>
          <w:b/>
          <w:szCs w:val="22"/>
        </w:rPr>
        <w:t>注：1. 上表所列各项均为不可负偏离条款。</w:t>
      </w:r>
    </w:p>
    <w:p>
      <w:pPr>
        <w:ind w:firstLine="480" w:firstLineChars="200"/>
        <w:rPr>
          <w:b/>
          <w:szCs w:val="22"/>
        </w:rPr>
      </w:pPr>
      <w:r>
        <w:rPr>
          <w:rFonts w:hint="eastAsia"/>
          <w:b/>
          <w:szCs w:val="22"/>
        </w:rPr>
        <w:t>2.“投标响应”一栏应当详细填写投标人自身响应情况，而不能不合理照搬照抄招实质性条款具体内容。</w:t>
      </w:r>
    </w:p>
    <w:p>
      <w:pPr>
        <w:ind w:firstLine="480" w:firstLineChars="200"/>
        <w:rPr>
          <w:b/>
          <w:szCs w:val="22"/>
        </w:rPr>
      </w:pPr>
      <w:r>
        <w:rPr>
          <w:rFonts w:hint="eastAsia"/>
          <w:b/>
          <w:szCs w:val="22"/>
        </w:rPr>
        <w:t>3</w:t>
      </w:r>
      <w:r>
        <w:rPr>
          <w:b/>
          <w:szCs w:val="22"/>
        </w:rPr>
        <w:t>.</w:t>
      </w:r>
      <w:r>
        <w:rPr>
          <w:rFonts w:hint="eastAsia"/>
          <w:b/>
          <w:szCs w:val="22"/>
        </w:rPr>
        <w:t>“偏离情况”一栏应填写“正偏离”、“负偏离”或“无偏离”，</w:t>
      </w:r>
      <w:r>
        <w:rPr>
          <w:rFonts w:hint="eastAsia"/>
          <w:b/>
        </w:rPr>
        <w:t>“正偏离”表示“投标响应优于实质性条款具体内容要求”，“负偏离”表示“投标响应不满足实质性条款具体内容要求”，“无偏离”表示“投标响应与实质性条款具体内容要求一致”。</w:t>
      </w:r>
    </w:p>
    <w:p>
      <w:pPr>
        <w:ind w:firstLine="480" w:firstLineChars="200"/>
        <w:rPr>
          <w:b/>
        </w:rPr>
      </w:pPr>
      <w:r>
        <w:rPr>
          <w:b/>
        </w:rPr>
        <w:t>4.</w:t>
      </w:r>
      <w:r>
        <w:rPr>
          <w:rFonts w:hint="eastAsia"/>
          <w:b/>
        </w:rPr>
        <w:t>评审委员会有权对投标响应情况作出判断（作出评审结论）。</w:t>
      </w:r>
    </w:p>
    <w:p>
      <w:pPr>
        <w:ind w:firstLine="480" w:firstLineChars="200"/>
      </w:pPr>
      <w:r>
        <w:rPr>
          <w:b/>
          <w:szCs w:val="22"/>
        </w:rPr>
        <w:t>5</w:t>
      </w:r>
      <w:r>
        <w:rPr>
          <w:rFonts w:hint="eastAsia"/>
          <w:b/>
          <w:szCs w:val="22"/>
        </w:rPr>
        <w:t>.实质性响应条款“投标响应情况”与投标文件其它内容冲突的，以实质性响应条款“投标响应情况”为准。</w:t>
      </w: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pStyle w:val="Heading2"/>
      </w:pPr>
      <w:r>
        <w:rPr>
          <w:rFonts w:hint="eastAsia"/>
        </w:rPr>
        <w:t>第五章  合同条款及格式</w:t>
      </w:r>
    </w:p>
    <w:p>
      <w:pPr>
        <w:ind w:firstLine="470" w:firstLineChars="196"/>
      </w:pPr>
    </w:p>
    <w:p>
      <w:pPr>
        <w:jc w:val="center"/>
      </w:pPr>
      <w:r>
        <w:rPr>
          <w:rFonts w:hint="eastAsia"/>
          <w:b/>
        </w:rPr>
        <w:t>（仅供参考，具体以项目需求及采购结果为准）</w:t>
      </w:r>
    </w:p>
    <w:p>
      <w:pPr>
        <w:jc w:val="center"/>
        <w:rPr>
          <w:b/>
        </w:rPr>
      </w:pPr>
      <w:r>
        <w:rPr>
          <w:rFonts w:hint="eastAsia"/>
          <w:b/>
        </w:rPr>
        <w:t>合同条款</w:t>
      </w:r>
    </w:p>
    <w:p>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pPr>
        <w:rPr>
          <w:rFonts w:ascii="宋体" w:hAnsi="宋体"/>
          <w:szCs w:val="21"/>
        </w:rPr>
      </w:pPr>
    </w:p>
    <w:p>
      <w:pPr>
        <w:rPr>
          <w:rFonts w:ascii="宋体" w:hAnsi="宋体"/>
          <w:szCs w:val="21"/>
        </w:rPr>
      </w:pPr>
    </w:p>
    <w:p>
      <w:pPr>
        <w:snapToGrid w:val="0"/>
        <w:spacing w:afterLines="0"/>
        <w:ind w:firstLine="480" w:firstLineChars="200"/>
        <w:rPr>
          <w:rFonts w:ascii="宋体" w:hAnsi="宋体"/>
          <w:szCs w:val="21"/>
        </w:rPr>
      </w:pPr>
      <w:r>
        <w:rPr>
          <w:rFonts w:ascii="宋体" w:eastAsia="宋体" w:hAnsi="宋体" w:cs="宋体" w:hint="eastAsia"/>
        </w:rPr>
        <w:t>根据深圳交易集团有限公司坪山分公司</w:t>
      </w:r>
      <w:r>
        <w:rPr>
          <w:rFonts w:hint="eastAsia"/>
        </w:rPr>
        <w:t xml:space="preserve">  </w:t>
      </w:r>
      <w:r>
        <w:rPr>
          <w:rFonts w:hint="eastAsia"/>
          <w:u w:val="single"/>
        </w:rPr>
        <w:t xml:space="preserve">  </w:t>
      </w:r>
      <w:r>
        <w:rPr>
          <w:rFonts w:ascii="宋体" w:eastAsia="宋体" w:hAnsi="宋体" w:cs="宋体" w:hint="eastAsia"/>
          <w:u w:val="single"/>
        </w:rPr>
        <w:t>（项目名称）（项目编号）</w:t>
      </w:r>
      <w:r>
        <w:rPr>
          <w:rFonts w:hint="eastAsia"/>
          <w:u w:val="single"/>
        </w:rPr>
        <w:t xml:space="preserve">   </w:t>
      </w:r>
      <w:r>
        <w:rPr>
          <w:u w:val="single"/>
        </w:rPr>
        <w:t xml:space="preserve"> </w:t>
      </w:r>
      <w:r>
        <w:rPr>
          <w:rFonts w:hint="eastAsia"/>
        </w:rPr>
        <w:t xml:space="preserve"> </w:t>
      </w:r>
      <w:r>
        <w:rPr>
          <w:rFonts w:ascii="宋体" w:eastAsia="宋体" w:hAnsi="宋体" w:cs="宋体" w:hint="eastAsia"/>
        </w:rPr>
        <w:t>号招标项目的投标结果，由</w:t>
      </w:r>
      <w:r>
        <w:rPr>
          <w:rFonts w:hint="eastAsia"/>
          <w:u w:val="single"/>
        </w:rPr>
        <w:t xml:space="preserve">        </w:t>
      </w:r>
      <w:r>
        <w:rPr>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hint="eastAsia"/>
        </w:rPr>
        <w:t>单位为中标方。按照《中华人民共和国经济合同法》和《深圳经济特区政府采购条例》，经深圳市</w:t>
      </w:r>
      <w:r>
        <w:rPr>
          <w:rFonts w:hint="eastAsia"/>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hint="eastAsia"/>
        </w:rPr>
        <w:t>（以下简称甲方）和</w:t>
      </w:r>
      <w:r>
        <w:rPr>
          <w:rFonts w:hint="eastAsia"/>
          <w:u w:val="single"/>
        </w:rPr>
        <w:t xml:space="preserve">                          </w:t>
      </w:r>
      <w:r>
        <w:rPr>
          <w:rFonts w:ascii="宋体" w:eastAsia="宋体" w:hAnsi="宋体" w:cs="宋体" w:hint="eastAsia"/>
        </w:rPr>
        <w:t>单位（以下简称乙方）协商，就甲方委托乙方承担</w:t>
      </w:r>
      <w:r>
        <w:rPr>
          <w:rFonts w:ascii="宋体" w:eastAsia="宋体" w:hAnsi="宋体" w:cs="宋体" w:hint="eastAsia"/>
          <w:u w:val="single"/>
        </w:rPr>
        <w:t xml:space="preserve"> </w:t>
      </w:r>
      <w:r>
        <w:rPr>
          <w:rFonts w:ascii="宋体" w:eastAsia="宋体" w:hAnsi="宋体" w:cs="宋体"/>
          <w:u w:val="single"/>
        </w:rPr>
        <w:t xml:space="preserve">           </w:t>
      </w:r>
      <w:r>
        <w:rPr>
          <w:rFonts w:hint="eastAsia"/>
          <w:u w:val="single"/>
        </w:rPr>
        <w:t xml:space="preserve">         </w:t>
      </w:r>
      <w:r>
        <w:rPr>
          <w:rFonts w:ascii="宋体" w:hAnsi="宋体" w:hint="eastAsia"/>
          <w:b/>
          <w:bCs/>
          <w:snapToGrid w:val="0"/>
          <w:szCs w:val="21"/>
          <w:u w:val="single"/>
          <w:lang w:val="zh-CN"/>
        </w:rPr>
        <w:t>服务项目</w:t>
      </w:r>
      <w:r>
        <w:rPr>
          <w:rFonts w:ascii="宋体" w:hAnsi="宋体" w:hint="eastAsia"/>
          <w:szCs w:val="21"/>
        </w:rPr>
        <w:t>，达成以下合同条款：</w:t>
      </w:r>
    </w:p>
    <w:p>
      <w:pPr>
        <w:snapToGrid w:val="0"/>
        <w:spacing w:afterLines="0"/>
        <w:ind w:firstLine="480" w:firstLineChars="200"/>
        <w:rPr>
          <w:rFonts w:ascii="宋体" w:hAnsi="宋体"/>
          <w:b/>
          <w:bCs/>
          <w:szCs w:val="21"/>
        </w:rPr>
      </w:pPr>
      <w:r>
        <w:rPr>
          <w:rFonts w:ascii="宋体" w:hAnsi="宋体" w:hint="eastAsia"/>
          <w:b/>
          <w:bCs/>
          <w:szCs w:val="21"/>
        </w:rPr>
        <w:t>第一条　项目概况</w:t>
      </w:r>
    </w:p>
    <w:p>
      <w:pPr>
        <w:snapToGrid w:val="0"/>
        <w:spacing w:afterLines="0"/>
        <w:ind w:firstLine="480" w:firstLineChars="200"/>
        <w:rPr>
          <w:rFonts w:ascii="宋体" w:hAnsi="宋体"/>
          <w:szCs w:val="21"/>
        </w:rPr>
      </w:pPr>
      <w:r>
        <w:rPr>
          <w:rFonts w:ascii="宋体" w:hAnsi="宋体" w:hint="eastAsia"/>
          <w:szCs w:val="21"/>
        </w:rPr>
        <w:t xml:space="preserve">项目名称： </w:t>
      </w:r>
    </w:p>
    <w:p>
      <w:pPr>
        <w:snapToGrid w:val="0"/>
        <w:spacing w:afterLines="0"/>
        <w:ind w:firstLine="480" w:firstLineChars="200"/>
        <w:rPr>
          <w:rFonts w:ascii="宋体" w:hAnsi="宋体"/>
          <w:szCs w:val="21"/>
        </w:rPr>
      </w:pPr>
      <w:r>
        <w:rPr>
          <w:rFonts w:ascii="宋体" w:hAnsi="宋体" w:hint="eastAsia"/>
          <w:szCs w:val="21"/>
        </w:rPr>
        <w:t xml:space="preserve">项目内容： </w:t>
      </w:r>
    </w:p>
    <w:p>
      <w:pPr>
        <w:snapToGrid w:val="0"/>
        <w:spacing w:afterLines="0"/>
        <w:ind w:firstLine="480" w:firstLineChars="200"/>
        <w:rPr>
          <w:rFonts w:ascii="宋体" w:hAnsi="宋体"/>
          <w:szCs w:val="21"/>
        </w:rPr>
      </w:pPr>
      <w:r>
        <w:rPr>
          <w:rFonts w:ascii="宋体" w:hAnsi="宋体" w:hint="eastAsia"/>
          <w:szCs w:val="21"/>
        </w:rPr>
        <w:t xml:space="preserve">服务时间： </w:t>
      </w:r>
    </w:p>
    <w:p>
      <w:pPr>
        <w:snapToGrid w:val="0"/>
        <w:spacing w:afterLines="0"/>
        <w:ind w:firstLine="480" w:firstLineChars="200"/>
        <w:rPr>
          <w:rFonts w:ascii="宋体" w:hAnsi="宋体"/>
          <w:szCs w:val="21"/>
        </w:rPr>
      </w:pPr>
      <w:bookmarkStart w:id="46" w:name="_Hlk95503527"/>
      <w:bookmarkStart w:id="47" w:name="_Hlk95503547"/>
      <w:r>
        <w:rPr>
          <w:rFonts w:ascii="宋体" w:hAnsi="宋体" w:hint="eastAsia"/>
          <w:szCs w:val="21"/>
        </w:rPr>
        <w:t>合同价款：</w:t>
      </w:r>
      <w:r>
        <w:rPr>
          <w:rFonts w:ascii="宋体" w:eastAsia="宋体" w:hAnsi="宋体" w:cs="宋体" w:hint="eastAsia"/>
          <w:szCs w:val="24"/>
        </w:rPr>
        <w:t>合同总价为</w:t>
      </w:r>
      <w:r>
        <w:rPr>
          <w:rFonts w:ascii="Times New Roman" w:hAnsi="Times New Roman" w:hint="eastAsia"/>
          <w:szCs w:val="24"/>
          <w:u w:val="single"/>
        </w:rPr>
        <w:t xml:space="preserve">       </w:t>
      </w:r>
      <w:r>
        <w:rPr>
          <w:rFonts w:ascii="宋体" w:eastAsia="宋体" w:hAnsi="宋体" w:cs="宋体" w:hint="eastAsia"/>
          <w:szCs w:val="24"/>
          <w:u w:val="single"/>
        </w:rPr>
        <w:t xml:space="preserve">  </w:t>
      </w:r>
      <w:r>
        <w:rPr>
          <w:rFonts w:ascii="Times New Roman" w:eastAsia="宋体" w:hAnsi="Times New Roman" w:cs="Times New Roman" w:hint="eastAsia"/>
          <w:szCs w:val="24"/>
        </w:rPr>
        <w:t>元</w:t>
      </w:r>
      <w:r>
        <w:rPr>
          <w:rFonts w:ascii="宋体" w:eastAsia="宋体" w:hAnsi="宋体" w:cs="宋体" w:hint="eastAsia"/>
          <w:szCs w:val="24"/>
        </w:rPr>
        <w:t>，含一切税费。</w:t>
      </w:r>
      <w:r>
        <w:rPr>
          <w:rFonts w:ascii="宋体" w:eastAsia="宋体" w:hAnsi="宋体" w:cs="宋体" w:hint="eastAsia"/>
        </w:rPr>
        <w:t>本合同总价包</w:t>
      </w:r>
      <w:bookmarkEnd w:id="46"/>
      <w:r>
        <w:t>括</w:t>
      </w:r>
      <w:r>
        <w:rPr>
          <w:rFonts w:ascii="宋体" w:hAnsi="宋体" w:hint="eastAsia"/>
          <w:szCs w:val="21"/>
        </w:rPr>
        <w:t>乙方为实施本项目所需的研发和注册申报</w:t>
      </w:r>
      <w:r>
        <w:t>技术</w:t>
      </w:r>
      <w:r>
        <w:rPr>
          <w:rFonts w:hint="eastAsia"/>
        </w:rPr>
        <w:t>服务</w:t>
      </w:r>
      <w:r>
        <w:t>费用</w:t>
      </w:r>
      <w:bookmarkEnd w:id="47"/>
      <w:r>
        <w:t>，</w:t>
      </w:r>
      <w:r>
        <w:rPr>
          <w:rFonts w:hint="eastAsia"/>
        </w:rPr>
        <w:t>若需变更研究开发方案或注册方案，乙方应提供合理的更新报价给甲方，经甲方同意，双方应就更新的方案及报价签署补充协议</w:t>
      </w:r>
      <w:r>
        <w:t>。合同总价包括</w:t>
      </w:r>
      <w:r>
        <w:rPr>
          <w:rFonts w:ascii="宋体" w:hAnsi="宋体" w:hint="eastAsia"/>
          <w:szCs w:val="21"/>
        </w:rPr>
        <w:t>乙方</w:t>
      </w:r>
      <w:r>
        <w:t>履行本合同义务所发生的一切费用和支出和以各种方式寄送技术资料所发生的费用。如发生本合同规定的不可抗力，合同总价可经双方友好协商予以调整。</w:t>
      </w:r>
    </w:p>
    <w:p>
      <w:pPr>
        <w:pStyle w:val="NormalIndent"/>
        <w:snapToGrid w:val="0"/>
        <w:spacing w:afterLines="0"/>
        <w:rPr>
          <w:rFonts w:ascii="宋体" w:hAnsi="宋体"/>
          <w:szCs w:val="21"/>
        </w:rPr>
      </w:pPr>
    </w:p>
    <w:p>
      <w:pPr>
        <w:snapToGrid w:val="0"/>
        <w:spacing w:afterLines="0"/>
        <w:ind w:firstLine="480" w:firstLineChars="200"/>
        <w:rPr>
          <w:rFonts w:ascii="宋体" w:hAnsi="宋体"/>
          <w:b/>
          <w:bCs/>
          <w:szCs w:val="21"/>
        </w:rPr>
      </w:pPr>
      <w:r>
        <w:rPr>
          <w:rFonts w:ascii="宋体" w:hAnsi="宋体" w:hint="eastAsia"/>
          <w:b/>
          <w:bCs/>
          <w:szCs w:val="21"/>
        </w:rPr>
        <w:t>第二条  服务内容</w:t>
      </w:r>
    </w:p>
    <w:p>
      <w:pPr>
        <w:snapToGrid w:val="0"/>
        <w:spacing w:afterLines="0"/>
        <w:ind w:firstLine="480" w:firstLineChars="200"/>
      </w:pPr>
      <w:r>
        <w:t xml:space="preserve">2.1  </w:t>
      </w:r>
    </w:p>
    <w:p>
      <w:pPr>
        <w:snapToGrid w:val="0"/>
        <w:spacing w:afterLines="0"/>
        <w:ind w:firstLine="480" w:firstLineChars="200"/>
      </w:pPr>
      <w:r>
        <w:t>2</w:t>
      </w:r>
      <w:r>
        <w:rPr>
          <w:rFonts w:hint="eastAsia"/>
        </w:rPr>
        <w:t>.2</w:t>
      </w:r>
      <w:r>
        <w:t xml:space="preserve">  </w:t>
      </w:r>
    </w:p>
    <w:p>
      <w:pPr>
        <w:snapToGrid w:val="0"/>
        <w:spacing w:afterLines="0"/>
        <w:ind w:firstLine="480" w:firstLineChars="200"/>
      </w:pPr>
      <w:r>
        <w:t xml:space="preserve">2.3  </w:t>
      </w:r>
    </w:p>
    <w:p>
      <w:pPr>
        <w:snapToGrid w:val="0"/>
        <w:spacing w:afterLines="0"/>
        <w:ind w:firstLine="480" w:firstLineChars="200"/>
        <w:rPr>
          <w:rFonts w:ascii="宋体" w:hAnsi="宋体"/>
          <w:szCs w:val="21"/>
        </w:rPr>
      </w:pPr>
      <w:r>
        <w:t>2.4</w:t>
      </w:r>
      <w:r>
        <w:rPr>
          <w:rFonts w:ascii="宋体" w:hAnsi="宋体" w:hint="eastAsia"/>
          <w:szCs w:val="21"/>
        </w:rPr>
        <w:t xml:space="preserve"> </w:t>
      </w:r>
      <w:r>
        <w:rPr>
          <w:rFonts w:ascii="宋体" w:hAnsi="宋体"/>
          <w:szCs w:val="21"/>
        </w:rPr>
        <w:t>……</w:t>
      </w:r>
    </w:p>
    <w:p>
      <w:pPr>
        <w:pStyle w:val="BodyText"/>
        <w:snapToGrid w:val="0"/>
        <w:spacing w:afterLines="0" w:line="240" w:lineRule="auto"/>
        <w:ind w:firstLine="480" w:firstLineChars="200"/>
        <w:rPr>
          <w:rFonts w:ascii="宋体" w:hAnsi="宋体"/>
          <w:szCs w:val="21"/>
        </w:rPr>
      </w:pPr>
    </w:p>
    <w:p>
      <w:pPr>
        <w:snapToGrid w:val="0"/>
        <w:spacing w:afterLines="0"/>
        <w:ind w:firstLine="480" w:firstLineChars="200"/>
        <w:rPr>
          <w:rFonts w:ascii="宋体" w:hAnsi="宋体"/>
          <w:b/>
          <w:bCs/>
          <w:szCs w:val="21"/>
        </w:rPr>
      </w:pPr>
      <w:r>
        <w:rPr>
          <w:rFonts w:ascii="宋体" w:hAnsi="宋体" w:hint="eastAsia"/>
          <w:b/>
          <w:bCs/>
          <w:szCs w:val="21"/>
        </w:rPr>
        <w:t>第三条  时间要求及阶段成果和支付方式</w:t>
      </w:r>
    </w:p>
    <w:p>
      <w:pPr>
        <w:snapToGrid w:val="0"/>
        <w:spacing w:afterLines="0"/>
        <w:ind w:firstLine="480" w:firstLineChars="200"/>
      </w:pPr>
      <w:r>
        <w:t>3.1</w:t>
      </w:r>
      <w:r>
        <w:rPr>
          <w:rFonts w:hint="eastAsia"/>
        </w:rPr>
        <w:t>合同签订</w:t>
      </w:r>
      <w:r>
        <w:t>7</w:t>
      </w:r>
      <w:r>
        <w:rPr>
          <w:rFonts w:hint="eastAsia"/>
        </w:rPr>
        <w:t>天内完成项目实施的准备工作，包括工作大纲和试验细则的编制；</w:t>
      </w:r>
    </w:p>
    <w:p>
      <w:pPr>
        <w:snapToGrid w:val="0"/>
        <w:spacing w:afterLines="0"/>
        <w:ind w:firstLine="480" w:firstLineChars="200"/>
      </w:pPr>
      <w:r>
        <w:t xml:space="preserve">3.2  </w:t>
      </w:r>
    </w:p>
    <w:p>
      <w:pPr>
        <w:snapToGrid w:val="0"/>
        <w:spacing w:afterLines="0"/>
        <w:ind w:firstLine="480" w:firstLineChars="200"/>
      </w:pPr>
      <w:r>
        <w:t xml:space="preserve">3.3 </w:t>
      </w:r>
    </w:p>
    <w:p>
      <w:pPr>
        <w:snapToGrid w:val="0"/>
        <w:spacing w:afterLines="0"/>
        <w:ind w:firstLine="480" w:firstLineChars="200"/>
      </w:pPr>
      <w:r>
        <w:t xml:space="preserve">3.4 </w:t>
      </w:r>
    </w:p>
    <w:p>
      <w:pPr>
        <w:snapToGrid w:val="0"/>
        <w:spacing w:afterLines="0"/>
        <w:ind w:firstLine="240" w:firstLineChars="100"/>
      </w:pPr>
      <w:bookmarkStart w:id="48" w:name="_Hlk95503651"/>
      <w:r>
        <w:rPr>
          <w:rFonts w:ascii="宋体" w:eastAsia="宋体" w:hAnsi="宋体" w:cs="宋体" w:hint="eastAsia"/>
        </w:rPr>
        <w:t>双方友好商定，于本协议生效之日起，甲方按照如下</w:t>
      </w:r>
      <w:r>
        <w:rPr>
          <w:u w:val="single"/>
        </w:rPr>
        <w:t xml:space="preserve">       </w:t>
      </w:r>
      <w:r>
        <w:rPr>
          <w:rFonts w:ascii="宋体" w:eastAsia="宋体" w:hAnsi="宋体" w:cs="宋体" w:hint="eastAsia"/>
        </w:rPr>
        <w:t>个阶段向乙方支付合同款项：</w:t>
      </w:r>
    </w:p>
    <w:p>
      <w:pPr>
        <w:snapToGrid w:val="0"/>
        <w:spacing w:afterLines="0"/>
        <w:ind w:firstLine="240" w:firstLineChars="100"/>
        <w:rPr>
          <w:rFonts w:ascii="宋体" w:hAnsi="宋体"/>
          <w:szCs w:val="21"/>
        </w:rPr>
      </w:pPr>
      <w:bookmarkEnd w:id="48"/>
      <w:r>
        <w:rPr>
          <w:rFonts w:ascii="宋体" w:hAnsi="宋体"/>
          <w:szCs w:val="21"/>
        </w:rPr>
        <w:t>……</w:t>
      </w:r>
    </w:p>
    <w:p>
      <w:pPr>
        <w:snapToGrid w:val="0"/>
        <w:spacing w:afterLines="0"/>
        <w:ind w:firstLine="240" w:firstLineChars="100"/>
        <w:rPr>
          <w:rFonts w:ascii="宋体" w:hAnsi="宋体"/>
          <w:szCs w:val="21"/>
        </w:rPr>
      </w:pPr>
      <w:r>
        <w:rPr>
          <w:rFonts w:ascii="宋体" w:hAnsi="宋体"/>
          <w:szCs w:val="21"/>
        </w:rPr>
        <w:t>……</w:t>
      </w:r>
    </w:p>
    <w:p>
      <w:pPr>
        <w:snapToGrid w:val="0"/>
        <w:spacing w:afterLines="0"/>
        <w:ind w:firstLine="480" w:firstLineChars="200"/>
        <w:rPr>
          <w:rFonts w:ascii="宋体" w:hAnsi="宋体"/>
          <w:b/>
          <w:bCs/>
          <w:szCs w:val="21"/>
        </w:rPr>
      </w:pPr>
      <w:r>
        <w:rPr>
          <w:rFonts w:ascii="宋体" w:hAnsi="宋体" w:hint="eastAsia"/>
          <w:b/>
          <w:bCs/>
          <w:szCs w:val="21"/>
        </w:rPr>
        <w:t>第四条  交货和验收</w:t>
      </w:r>
    </w:p>
    <w:p>
      <w:pPr>
        <w:snapToGrid w:val="0"/>
        <w:spacing w:after="0" w:afterLines="0" w:line="240" w:lineRule="auto"/>
      </w:pPr>
      <w:r>
        <w:rPr>
          <w:rFonts w:hint="eastAsia"/>
        </w:rPr>
        <w:t xml:space="preserve"> </w:t>
      </w:r>
      <w:r>
        <w:t xml:space="preserve">   </w:t>
      </w:r>
      <w:bookmarkStart w:id="49" w:name="_Hlk95503745"/>
      <w:r>
        <w:t xml:space="preserve"> 4.1 </w:t>
      </w:r>
      <w:r>
        <w:rPr>
          <w:rFonts w:ascii="宋体" w:eastAsia="宋体" w:hAnsi="宋体" w:cs="宋体" w:hint="eastAsia"/>
        </w:rPr>
        <w:t>在乙方书面通知甲方已完成本协议下某项服务或全部服务之日、或向甲方提供相应的研究报告之日起</w:t>
      </w:r>
      <w:r>
        <w:rPr>
          <w:u w:val="none"/>
        </w:rPr>
        <w:t xml:space="preserve">   </w:t>
      </w:r>
      <w:r>
        <w:rPr>
          <w:rFonts w:ascii="宋体" w:eastAsia="宋体" w:hAnsi="宋体" w:cs="宋体" w:hint="eastAsia"/>
        </w:rPr>
        <w:t>日内，甲方应完成验收，并以书面形式确认乙方所提供的服务是否符合要求。研究开发成果验收时，乙方应当向甲方提交实施技术成果所必需的技术资料、试验报告和数据以及甲方要求其提交的其他资料；乙方应当保证所提供的技术成果符合本协议约定的条件，保证所提供的资料和数据是真实、准确和完整的。</w:t>
      </w:r>
    </w:p>
    <w:p>
      <w:pPr>
        <w:snapToGrid w:val="0"/>
        <w:spacing w:after="0" w:afterLines="0" w:line="240" w:lineRule="auto"/>
      </w:pPr>
      <w:r>
        <w:rPr>
          <w:rFonts w:hint="eastAsia"/>
        </w:rPr>
        <w:t xml:space="preserve"> </w:t>
      </w:r>
      <w:r>
        <w:t xml:space="preserve">   4.2 </w:t>
      </w:r>
      <w:r>
        <w:rPr>
          <w:rFonts w:ascii="宋体" w:eastAsia="宋体" w:hAnsi="宋体" w:cs="宋体" w:hint="eastAsia"/>
        </w:rPr>
        <w:t>甲乙双方考虑到该项目涉及新药</w:t>
      </w:r>
      <w:r>
        <w:rPr>
          <w:rFonts w:hint="eastAsia"/>
        </w:rPr>
        <w:t>IND</w:t>
      </w:r>
      <w:r>
        <w:rPr>
          <w:rFonts w:ascii="宋体" w:eastAsia="宋体" w:hAnsi="宋体" w:cs="宋体" w:hint="eastAsia"/>
        </w:rPr>
        <w:t>申报，因此乙方同意：如果甲方申报之地方</w:t>
      </w:r>
      <w:r>
        <w:rPr>
          <w:rFonts w:hint="eastAsia"/>
        </w:rPr>
        <w:t>NMPA</w:t>
      </w:r>
      <w:r>
        <w:rPr>
          <w:rFonts w:ascii="宋体" w:eastAsia="宋体" w:hAnsi="宋体" w:cs="宋体" w:hint="eastAsia"/>
        </w:rPr>
        <w:t>省局部门、国家局</w:t>
      </w:r>
      <w:r>
        <w:rPr>
          <w:rFonts w:hint="eastAsia"/>
        </w:rPr>
        <w:t>NMPA</w:t>
      </w:r>
      <w:r>
        <w:rPr>
          <w:rFonts w:ascii="宋体" w:eastAsia="宋体" w:hAnsi="宋体" w:cs="宋体" w:hint="eastAsia"/>
        </w:rPr>
        <w:t>或</w:t>
      </w:r>
      <w:r>
        <w:rPr>
          <w:rFonts w:hint="eastAsia"/>
        </w:rPr>
        <w:t>FDA</w:t>
      </w:r>
      <w:r>
        <w:rPr>
          <w:rFonts w:ascii="宋体" w:eastAsia="宋体" w:hAnsi="宋体" w:cs="宋体" w:hint="eastAsia"/>
        </w:rPr>
        <w:t>在材料提交，现场考核后及技术评审后，认为因乙方过错致乙方提供的资料未能满足</w:t>
      </w:r>
      <w:r>
        <w:rPr>
          <w:rFonts w:hint="eastAsia"/>
        </w:rPr>
        <w:t>IND</w:t>
      </w:r>
      <w:r>
        <w:rPr>
          <w:rFonts w:ascii="宋体" w:eastAsia="宋体" w:hAnsi="宋体" w:cs="宋体" w:hint="eastAsia"/>
        </w:rPr>
        <w:t>申报，需要进一步补充研究的内容，则视为乙方未完成该本协议之约定任务；基于此，乙方需全力配合甲方，在</w:t>
      </w:r>
      <w:r>
        <w:rPr>
          <w:rFonts w:hint="eastAsia"/>
        </w:rPr>
        <w:t>NMPA</w:t>
      </w:r>
      <w:r>
        <w:rPr>
          <w:rFonts w:ascii="宋体" w:eastAsia="宋体" w:hAnsi="宋体" w:cs="宋体" w:hint="eastAsia"/>
        </w:rPr>
        <w:t>省局部门、国家局</w:t>
      </w:r>
      <w:r>
        <w:rPr>
          <w:rFonts w:hint="eastAsia"/>
        </w:rPr>
        <w:t>NMPA</w:t>
      </w:r>
      <w:r>
        <w:rPr>
          <w:rFonts w:ascii="宋体" w:eastAsia="宋体" w:hAnsi="宋体" w:cs="宋体" w:hint="eastAsia"/>
        </w:rPr>
        <w:t>或</w:t>
      </w:r>
      <w:r>
        <w:rPr>
          <w:rFonts w:hint="eastAsia"/>
        </w:rPr>
        <w:t>FDA</w:t>
      </w:r>
      <w:r>
        <w:rPr>
          <w:rFonts w:ascii="宋体" w:eastAsia="宋体" w:hAnsi="宋体" w:cs="宋体" w:hint="eastAsia"/>
        </w:rPr>
        <w:t>规定的时间内完成补充资料，并不再收取实验费用。乙方应当向甲方赔偿其因此而招致的损失和费用。</w:t>
      </w:r>
    </w:p>
    <w:p>
      <w:pPr>
        <w:snapToGrid w:val="0"/>
        <w:spacing w:afterLines="0" w:line="240" w:lineRule="auto"/>
        <w:ind w:firstLine="480" w:firstLineChars="200"/>
        <w:rPr>
          <w:rFonts w:ascii="宋体" w:hAnsi="宋体"/>
          <w:b/>
          <w:bCs/>
          <w:szCs w:val="21"/>
        </w:rPr>
      </w:pPr>
      <w:bookmarkEnd w:id="49"/>
      <w:r>
        <w:rPr>
          <w:rFonts w:ascii="宋体" w:hAnsi="宋体" w:hint="eastAsia"/>
          <w:b/>
          <w:bCs/>
          <w:szCs w:val="21"/>
        </w:rPr>
        <w:t>第五条  其他条款</w:t>
      </w:r>
    </w:p>
    <w:p>
      <w:pPr>
        <w:snapToGrid w:val="0"/>
        <w:spacing w:after="0" w:afterLines="0" w:line="240" w:lineRule="auto"/>
        <w:ind w:firstLine="480" w:firstLineChars="200"/>
      </w:pPr>
      <w:bookmarkStart w:id="50" w:name="_Hlk95503763"/>
      <w:r>
        <w:t xml:space="preserve">5.1 </w:t>
      </w:r>
      <w:r>
        <w:rPr>
          <w:rFonts w:ascii="宋体" w:eastAsia="宋体" w:hAnsi="宋体" w:cs="宋体" w:hint="eastAsia"/>
        </w:rPr>
        <w:t>乙方承诺有足够的资源、技术和能力完成本协议中的所有实验任务。乙方应于签订本协议之日起</w:t>
      </w:r>
      <w:r>
        <w:rPr>
          <w:rFonts w:hint="eastAsia"/>
        </w:rPr>
        <w:t>7</w:t>
      </w:r>
      <w:r>
        <w:rPr>
          <w:rFonts w:ascii="宋体" w:eastAsia="宋体" w:hAnsi="宋体" w:cs="宋体" w:hint="eastAsia"/>
        </w:rPr>
        <w:t>日内启动相关研究工作，并向甲方提交整个项目的执行时间计划表。乙方必须遵守所有现行适用的法律法规，并且在执行项目计划时使用不低于中国现行公认的行业标准，并且能够按照项目计划中所设定的交付时间和验收标准完成。生产车间、实验室和所有操作完全符合中国和美国</w:t>
      </w:r>
      <w:r>
        <w:rPr>
          <w:rFonts w:hint="eastAsia"/>
        </w:rPr>
        <w:t>IND</w:t>
      </w:r>
      <w:r>
        <w:rPr>
          <w:rFonts w:ascii="宋体" w:eastAsia="宋体" w:hAnsi="宋体" w:cs="宋体" w:hint="eastAsia"/>
        </w:rPr>
        <w:t>申报的标准。</w:t>
      </w:r>
    </w:p>
    <w:p>
      <w:pPr>
        <w:snapToGrid w:val="0"/>
        <w:spacing w:afterLines="0" w:line="240" w:lineRule="auto"/>
        <w:ind w:firstLine="480" w:firstLineChars="200"/>
      </w:pPr>
      <w:bookmarkEnd w:id="50"/>
      <w:r>
        <w:t>5.2 乙方的项目负责人：</w:t>
      </w:r>
    </w:p>
    <w:tbl>
      <w:tblPr>
        <w:tblStyle w:val="TableGrid"/>
        <w:tblW w:w="81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37"/>
        <w:gridCol w:w="2074"/>
        <w:gridCol w:w="2074"/>
        <w:gridCol w:w="2074"/>
      </w:tblGrid>
      <w:tr>
        <w:tblPrEx>
          <w:tblW w:w="81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937" w:type="dxa"/>
            <w:vAlign w:val="center"/>
          </w:tcPr>
          <w:p>
            <w:pPr>
              <w:snapToGrid w:val="0"/>
              <w:spacing w:afterLines="0"/>
              <w:rPr>
                <w:rFonts w:ascii="宋体" w:hAnsi="宋体"/>
                <w:bCs/>
                <w:szCs w:val="32"/>
              </w:rPr>
            </w:pPr>
            <w:r>
              <w:rPr>
                <w:rFonts w:ascii="宋体" w:hAnsi="宋体" w:hint="eastAsia"/>
                <w:bCs/>
                <w:szCs w:val="32"/>
              </w:rPr>
              <w:t>项目内容</w:t>
            </w:r>
          </w:p>
        </w:tc>
        <w:tc>
          <w:tcPr>
            <w:tcW w:w="2074" w:type="dxa"/>
            <w:vAlign w:val="center"/>
          </w:tcPr>
          <w:p>
            <w:pPr>
              <w:snapToGrid w:val="0"/>
              <w:spacing w:afterLines="0"/>
              <w:rPr>
                <w:rFonts w:ascii="宋体" w:hAnsi="宋体"/>
                <w:bCs/>
                <w:szCs w:val="32"/>
              </w:rPr>
            </w:pPr>
            <w:r>
              <w:rPr>
                <w:rFonts w:ascii="宋体" w:hAnsi="宋体" w:hint="eastAsia"/>
                <w:bCs/>
                <w:szCs w:val="32"/>
              </w:rPr>
              <w:t>姓名</w:t>
            </w:r>
          </w:p>
        </w:tc>
        <w:tc>
          <w:tcPr>
            <w:tcW w:w="2074" w:type="dxa"/>
            <w:vAlign w:val="center"/>
          </w:tcPr>
          <w:p>
            <w:pPr>
              <w:snapToGrid w:val="0"/>
              <w:spacing w:afterLines="0"/>
              <w:rPr>
                <w:rFonts w:ascii="宋体" w:hAnsi="宋体"/>
                <w:bCs/>
                <w:szCs w:val="32"/>
              </w:rPr>
            </w:pPr>
            <w:r>
              <w:rPr>
                <w:rFonts w:ascii="宋体" w:hAnsi="宋体" w:hint="eastAsia"/>
                <w:bCs/>
                <w:szCs w:val="32"/>
              </w:rPr>
              <w:t>电话</w:t>
            </w:r>
          </w:p>
        </w:tc>
        <w:tc>
          <w:tcPr>
            <w:tcW w:w="2074" w:type="dxa"/>
            <w:vAlign w:val="center"/>
          </w:tcPr>
          <w:p>
            <w:pPr>
              <w:snapToGrid w:val="0"/>
              <w:spacing w:afterLines="0"/>
              <w:rPr>
                <w:rFonts w:ascii="宋体" w:hAnsi="宋体"/>
                <w:bCs/>
                <w:szCs w:val="32"/>
              </w:rPr>
            </w:pPr>
            <w:r>
              <w:rPr>
                <w:rFonts w:ascii="宋体" w:hAnsi="宋体" w:hint="eastAsia"/>
                <w:bCs/>
                <w:szCs w:val="32"/>
              </w:rPr>
              <w:t>邮箱</w:t>
            </w:r>
          </w:p>
        </w:tc>
      </w:tr>
      <w:tr>
        <w:tblPrEx>
          <w:tblW w:w="8159" w:type="dxa"/>
          <w:tblInd w:w="137" w:type="dxa"/>
          <w:tblLayout w:type="fixed"/>
          <w:tblCellMar>
            <w:top w:w="0" w:type="dxa"/>
            <w:left w:w="108" w:type="dxa"/>
            <w:bottom w:w="0" w:type="dxa"/>
            <w:right w:w="108" w:type="dxa"/>
          </w:tblCellMar>
        </w:tblPrEx>
        <w:tc>
          <w:tcPr>
            <w:tcW w:w="1937" w:type="dxa"/>
          </w:tcPr>
          <w:p>
            <w:pPr>
              <w:snapToGrid w:val="0"/>
              <w:spacing w:afterLines="0"/>
            </w:pPr>
            <w:r>
              <w:rPr>
                <w:rFonts w:hint="eastAsia"/>
              </w:rPr>
              <w:t>原料药</w:t>
            </w:r>
          </w:p>
        </w:tc>
        <w:tc>
          <w:tcPr>
            <w:tcW w:w="2074" w:type="dxa"/>
          </w:tcPr>
          <w:p>
            <w:pPr>
              <w:snapToGrid w:val="0"/>
              <w:spacing w:afterLines="0"/>
            </w:pPr>
          </w:p>
        </w:tc>
        <w:tc>
          <w:tcPr>
            <w:tcW w:w="2074" w:type="dxa"/>
          </w:tcPr>
          <w:p>
            <w:pPr>
              <w:snapToGrid w:val="0"/>
              <w:spacing w:afterLines="0"/>
            </w:pPr>
          </w:p>
        </w:tc>
        <w:tc>
          <w:tcPr>
            <w:tcW w:w="2074" w:type="dxa"/>
          </w:tcPr>
          <w:p>
            <w:pPr>
              <w:snapToGrid w:val="0"/>
              <w:spacing w:afterLines="0"/>
            </w:pPr>
          </w:p>
        </w:tc>
      </w:tr>
      <w:tr>
        <w:tblPrEx>
          <w:tblW w:w="8159" w:type="dxa"/>
          <w:tblInd w:w="137" w:type="dxa"/>
          <w:tblLayout w:type="fixed"/>
          <w:tblCellMar>
            <w:top w:w="0" w:type="dxa"/>
            <w:left w:w="108" w:type="dxa"/>
            <w:bottom w:w="0" w:type="dxa"/>
            <w:right w:w="108" w:type="dxa"/>
          </w:tblCellMar>
        </w:tblPrEx>
        <w:tc>
          <w:tcPr>
            <w:tcW w:w="1937" w:type="dxa"/>
          </w:tcPr>
          <w:p>
            <w:pPr>
              <w:snapToGrid w:val="0"/>
              <w:spacing w:afterLines="0"/>
            </w:pPr>
            <w:r>
              <w:rPr>
                <w:rFonts w:hint="eastAsia"/>
              </w:rPr>
              <w:t>制剂</w:t>
            </w:r>
          </w:p>
        </w:tc>
        <w:tc>
          <w:tcPr>
            <w:tcW w:w="2074" w:type="dxa"/>
          </w:tcPr>
          <w:p>
            <w:pPr>
              <w:snapToGrid w:val="0"/>
              <w:spacing w:afterLines="0"/>
            </w:pPr>
          </w:p>
        </w:tc>
        <w:tc>
          <w:tcPr>
            <w:tcW w:w="2074" w:type="dxa"/>
          </w:tcPr>
          <w:p>
            <w:pPr>
              <w:snapToGrid w:val="0"/>
              <w:spacing w:afterLines="0"/>
            </w:pPr>
          </w:p>
        </w:tc>
        <w:tc>
          <w:tcPr>
            <w:tcW w:w="2074" w:type="dxa"/>
          </w:tcPr>
          <w:p>
            <w:pPr>
              <w:snapToGrid w:val="0"/>
              <w:spacing w:afterLines="0"/>
            </w:pPr>
          </w:p>
        </w:tc>
      </w:tr>
      <w:tr>
        <w:tblPrEx>
          <w:tblW w:w="8159" w:type="dxa"/>
          <w:tblInd w:w="137" w:type="dxa"/>
          <w:tblLayout w:type="fixed"/>
          <w:tblCellMar>
            <w:top w:w="0" w:type="dxa"/>
            <w:left w:w="108" w:type="dxa"/>
            <w:bottom w:w="0" w:type="dxa"/>
            <w:right w:w="108" w:type="dxa"/>
          </w:tblCellMar>
        </w:tblPrEx>
        <w:tc>
          <w:tcPr>
            <w:tcW w:w="1937" w:type="dxa"/>
          </w:tcPr>
          <w:p>
            <w:pPr>
              <w:snapToGrid w:val="0"/>
              <w:spacing w:afterLines="0"/>
            </w:pPr>
            <w:r>
              <w:t>……</w:t>
            </w:r>
          </w:p>
        </w:tc>
        <w:tc>
          <w:tcPr>
            <w:tcW w:w="2074" w:type="dxa"/>
          </w:tcPr>
          <w:p>
            <w:pPr>
              <w:snapToGrid w:val="0"/>
              <w:spacing w:afterLines="0"/>
            </w:pPr>
          </w:p>
        </w:tc>
        <w:tc>
          <w:tcPr>
            <w:tcW w:w="2074" w:type="dxa"/>
          </w:tcPr>
          <w:p>
            <w:pPr>
              <w:snapToGrid w:val="0"/>
              <w:spacing w:afterLines="0"/>
            </w:pPr>
          </w:p>
        </w:tc>
        <w:tc>
          <w:tcPr>
            <w:tcW w:w="2074" w:type="dxa"/>
          </w:tcPr>
          <w:p>
            <w:pPr>
              <w:snapToGrid w:val="0"/>
              <w:spacing w:afterLines="0"/>
            </w:pPr>
          </w:p>
        </w:tc>
      </w:tr>
    </w:tbl>
    <w:p>
      <w:pPr>
        <w:snapToGrid w:val="0"/>
        <w:spacing w:afterLines="0"/>
      </w:pPr>
    </w:p>
    <w:p>
      <w:pPr>
        <w:snapToGrid w:val="0"/>
        <w:spacing w:after="0" w:afterLines="0" w:line="240" w:lineRule="auto"/>
        <w:ind w:firstLine="480" w:firstLineChars="200"/>
      </w:pPr>
      <w:r>
        <w:rPr>
          <w:rFonts w:hint="eastAsia"/>
        </w:rPr>
        <w:t>如果项目负责人不能直接负责项目的执行，或者无论什么原因该项目负责人不再负责该项目，乙方必须马上书面通知甲方，并同时另行指定合格的项目负责人。</w:t>
      </w:r>
    </w:p>
    <w:p>
      <w:pPr>
        <w:snapToGrid w:val="0"/>
        <w:spacing w:after="0" w:afterLines="0" w:line="240" w:lineRule="auto"/>
        <w:ind w:firstLine="480" w:firstLineChars="200"/>
      </w:pPr>
      <w:bookmarkStart w:id="51" w:name="_Hlk95503998"/>
      <w:r>
        <w:t xml:space="preserve">5.3 </w:t>
      </w:r>
      <w:r>
        <w:rPr>
          <w:rFonts w:ascii="宋体" w:eastAsia="宋体" w:hAnsi="宋体" w:cs="宋体" w:hint="eastAsia"/>
        </w:rPr>
        <w:t>甲方的项目负责人：</w:t>
      </w:r>
      <w:r>
        <w:rPr>
          <w:rFonts w:hint="eastAsia"/>
        </w:rPr>
        <w:t>X</w:t>
      </w:r>
      <w:r>
        <w:t>XX</w:t>
      </w:r>
      <w:r>
        <w:rPr>
          <w:rFonts w:ascii="宋体" w:eastAsia="宋体" w:hAnsi="宋体" w:cs="宋体" w:hint="eastAsia"/>
        </w:rPr>
        <w:t>，电话：</w:t>
      </w:r>
      <w:r>
        <w:rPr>
          <w:rFonts w:hint="eastAsia"/>
          <w:u w:val="single"/>
        </w:rPr>
        <w:t xml:space="preserve"> </w:t>
      </w:r>
      <w:r>
        <w:rPr>
          <w:u w:val="single"/>
        </w:rPr>
        <w:t xml:space="preserve">        </w:t>
      </w:r>
      <w:r>
        <w:t xml:space="preserve"> </w:t>
      </w:r>
      <w:r>
        <w:rPr>
          <w:rFonts w:ascii="宋体" w:eastAsia="宋体" w:hAnsi="宋体" w:cs="宋体" w:hint="eastAsia"/>
        </w:rPr>
        <w:t>，邮箱：</w:t>
      </w:r>
      <w:r>
        <w:rPr>
          <w:rFonts w:hint="eastAsia"/>
          <w:u w:val="single"/>
        </w:rPr>
        <w:t xml:space="preserve"> </w:t>
      </w:r>
      <w:r>
        <w:rPr>
          <w:u w:val="single"/>
        </w:rPr>
        <w:t xml:space="preserve">        </w:t>
      </w:r>
      <w:r>
        <w:t xml:space="preserve"> </w:t>
      </w:r>
      <w:r>
        <w:rPr>
          <w:rFonts w:ascii="宋体" w:eastAsia="宋体" w:hAnsi="宋体" w:cs="宋体" w:hint="eastAsia"/>
        </w:rPr>
        <w:t>。如果项目负责人不能直接负责项目的执行，或者无论什么原因该项目负责人不再负责该项目，甲方必须马上通知乙方确定的一名新的继任者。</w:t>
      </w:r>
    </w:p>
    <w:p>
      <w:pPr>
        <w:snapToGrid w:val="0"/>
        <w:spacing w:after="0" w:afterLines="0" w:line="240" w:lineRule="auto"/>
        <w:ind w:firstLine="480" w:firstLineChars="200"/>
      </w:pPr>
      <w:r>
        <w:rPr>
          <w:rFonts w:hint="eastAsia"/>
        </w:rPr>
        <w:t>5</w:t>
      </w:r>
      <w:r>
        <w:t xml:space="preserve">.4 </w:t>
      </w:r>
      <w:r>
        <w:rPr>
          <w:rFonts w:ascii="宋体" w:eastAsia="宋体" w:hAnsi="宋体" w:cs="宋体" w:hint="eastAsia"/>
        </w:rPr>
        <w:t>变更。在执行项目期间，如果甲方要求修正现有的项目计划，甲方应提前给乙方递交一份书面更改要求（</w:t>
      </w:r>
      <w:r>
        <w:t>“</w:t>
      </w:r>
      <w:r>
        <w:rPr>
          <w:rFonts w:ascii="宋体" w:eastAsia="宋体" w:hAnsi="宋体" w:cs="宋体" w:hint="eastAsia"/>
        </w:rPr>
        <w:t>变更项目建议</w:t>
      </w:r>
      <w:r>
        <w:t>”</w:t>
      </w:r>
      <w:r>
        <w:rPr>
          <w:rFonts w:ascii="宋体" w:eastAsia="宋体" w:hAnsi="宋体" w:cs="宋体" w:hint="eastAsia"/>
        </w:rPr>
        <w:t>），并提供所有必需的信息。双方应就合同的变更签订补充协议。</w:t>
      </w:r>
    </w:p>
    <w:p>
      <w:pPr>
        <w:snapToGrid w:val="0"/>
        <w:spacing w:after="0" w:afterLines="0" w:line="240" w:lineRule="auto"/>
        <w:ind w:firstLine="480" w:firstLineChars="200"/>
      </w:pPr>
      <w:r>
        <w:rPr>
          <w:rFonts w:hint="eastAsia"/>
        </w:rPr>
        <w:t>5</w:t>
      </w:r>
      <w:r>
        <w:t xml:space="preserve">.5 </w:t>
      </w:r>
      <w:r>
        <w:rPr>
          <w:rFonts w:ascii="宋体" w:eastAsia="宋体" w:hAnsi="宋体" w:cs="宋体" w:hint="eastAsia"/>
        </w:rPr>
        <w:t>本协议的实验进展由乙方来合理安排，乙方的项目负责人必须让甲方的项目负责人充分了解项目的进展。乙方的项目负责人应向甲方提供项目进展周报告，并随时通过电话或邮件方式与甲方进行项目进展的沟通。乙方在实验过程中遇到任何问题，应在第一时间通知甲方项目负责人。</w:t>
      </w:r>
    </w:p>
    <w:p>
      <w:pPr>
        <w:snapToGrid w:val="0"/>
        <w:spacing w:after="0" w:afterLines="0" w:line="240" w:lineRule="auto"/>
        <w:ind w:firstLine="480" w:firstLineChars="200"/>
      </w:pPr>
      <w:r>
        <w:rPr>
          <w:rFonts w:hint="eastAsia"/>
        </w:rPr>
        <w:t>5</w:t>
      </w:r>
      <w:r>
        <w:t xml:space="preserve">.6 </w:t>
      </w:r>
      <w:r>
        <w:rPr>
          <w:rFonts w:ascii="宋体" w:eastAsia="宋体" w:hAnsi="宋体" w:cs="宋体" w:hint="eastAsia"/>
        </w:rPr>
        <w:t>在实验过程中，在提前</w:t>
      </w:r>
      <w:r>
        <w:rPr>
          <w:rFonts w:hint="eastAsia"/>
          <w:u w:val="single"/>
        </w:rPr>
        <w:t xml:space="preserve"> </w:t>
      </w:r>
      <w:r>
        <w:rPr>
          <w:u w:val="single"/>
        </w:rPr>
        <w:t xml:space="preserve">        </w:t>
      </w:r>
      <w:r>
        <w:rPr>
          <w:rFonts w:ascii="宋体" w:eastAsia="宋体" w:hAnsi="宋体" w:cs="宋体" w:hint="eastAsia"/>
        </w:rPr>
        <w:t>个工作日通知的前提下，甲方有权派出代表到乙方实验室观察实验，甲方代表有权利随时了解实验进程及项目进展中遇到的所有问题，并可以会见乙方与此项目有关的所有工作人员，与项目成员讨论该项目，可以检查和复制项目执行中的数据，乙方应予以配合，并对现场核查过程中的实验设备、使用记录、原始图谱、操作规程等真实性负责。</w:t>
      </w:r>
    </w:p>
    <w:p>
      <w:pPr>
        <w:snapToGrid w:val="0"/>
        <w:spacing w:after="0" w:afterLines="0" w:line="240" w:lineRule="auto"/>
        <w:ind w:firstLine="480" w:firstLineChars="200"/>
      </w:pPr>
      <w:r>
        <w:t xml:space="preserve">5.7 </w:t>
      </w:r>
      <w:r>
        <w:rPr>
          <w:rFonts w:ascii="宋体" w:eastAsia="宋体" w:hAnsi="宋体" w:cs="宋体" w:hint="eastAsia"/>
        </w:rPr>
        <w:t>记录。乙方必须建立和维持完整和准确的记录，设立单独的实验记录本，记录本项目的研究过程。该记录应能真实地反映出所有完成的工作和执行项目完整的结果。所有的实验记录包括实验细节和实验笔记本都必须在标准操作规程下管理。在提前通知的前提下，甲方有权查看实验记录。由乙方编写或开发的所有与项目有关的记录和任何辅助文件，不管是书面的、磁盘的或电子的，都是只属于甲方的财产。项目完成后，乙方将提供全部实验的报告给甲方。原始记录使用</w:t>
      </w:r>
      <w:r>
        <w:rPr>
          <w:rFonts w:hint="eastAsia"/>
          <w:u w:val="single"/>
        </w:rPr>
        <w:t xml:space="preserve"> </w:t>
      </w:r>
      <w:r>
        <w:rPr>
          <w:u w:val="single"/>
        </w:rPr>
        <w:t xml:space="preserve">       </w:t>
      </w:r>
      <w:r>
        <w:rPr>
          <w:rFonts w:ascii="宋体" w:eastAsia="宋体" w:hAnsi="宋体" w:cs="宋体" w:hint="eastAsia"/>
        </w:rPr>
        <w:t>，报告使用</w:t>
      </w:r>
      <w:r>
        <w:rPr>
          <w:rFonts w:hint="eastAsia"/>
          <w:u w:val="single"/>
        </w:rPr>
        <w:t xml:space="preserve"> </w:t>
      </w:r>
      <w:r>
        <w:rPr>
          <w:u w:val="single"/>
        </w:rPr>
        <w:t xml:space="preserve">       </w:t>
      </w:r>
      <w:r>
        <w:rPr>
          <w:rFonts w:ascii="宋体" w:eastAsia="宋体" w:hAnsi="宋体" w:cs="宋体" w:hint="eastAsia"/>
        </w:rPr>
        <w:t>，但本协议另有约定的除外。乙方须为甲方保持实验相关的原始记录、电子文档等为期</w:t>
      </w:r>
      <w:r>
        <w:rPr>
          <w:u w:val="none"/>
        </w:rPr>
        <w:t xml:space="preserve">    </w:t>
      </w:r>
      <w:r>
        <w:rPr>
          <w:rFonts w:ascii="宋体" w:eastAsia="宋体" w:hAnsi="宋体" w:cs="宋体" w:hint="eastAsia"/>
        </w:rPr>
        <w:t>年。经甲方要求，乙方应当向甲方返还、销毁或以甲方指示的其他方式处置该等记录和报告。</w:t>
      </w:r>
    </w:p>
    <w:p>
      <w:pPr>
        <w:snapToGrid w:val="0"/>
        <w:spacing w:afterLines="0" w:line="240" w:lineRule="auto"/>
      </w:pPr>
      <w:r>
        <w:rPr>
          <w:rFonts w:hint="eastAsia"/>
        </w:rPr>
        <w:t xml:space="preserve"> </w:t>
      </w:r>
      <w:r>
        <w:t xml:space="preserve">       5.8 </w:t>
      </w:r>
      <w:r>
        <w:rPr>
          <w:rFonts w:ascii="宋体" w:eastAsia="宋体" w:hAnsi="宋体" w:cs="宋体" w:hint="eastAsia"/>
        </w:rPr>
        <w:t>保密义务和知识产权</w:t>
      </w:r>
    </w:p>
    <w:p>
      <w:pPr>
        <w:snapToGrid w:val="0"/>
        <w:spacing w:afterLines="0" w:line="240" w:lineRule="auto"/>
        <w:ind w:firstLine="480" w:firstLineChars="200"/>
      </w:pPr>
      <w:r>
        <w:t xml:space="preserve">5.8.1 </w:t>
      </w:r>
      <w:r>
        <w:rPr>
          <w:rFonts w:ascii="宋体" w:eastAsia="宋体" w:hAnsi="宋体" w:cs="宋体" w:hint="eastAsia"/>
        </w:rPr>
        <w:t>双方同意，为履行本协议和本协议下的项目，双方共同遵守并签订保密协议；如保密协议到期日早于本协议的到期终止日，或仍有项目委托单下的试验尚未履行完毕，保密协议的期限应延长至保密信息合法公开之日止。</w:t>
      </w:r>
    </w:p>
    <w:p>
      <w:pPr>
        <w:snapToGrid w:val="0"/>
        <w:spacing w:afterLines="0" w:line="240" w:lineRule="auto"/>
        <w:ind w:firstLine="480" w:firstLineChars="200"/>
      </w:pPr>
      <w:r>
        <w:t xml:space="preserve">5.8.2 </w:t>
      </w:r>
      <w:r>
        <w:rPr>
          <w:rFonts w:ascii="宋体" w:eastAsia="宋体" w:hAnsi="宋体" w:cs="宋体" w:hint="eastAsia"/>
        </w:rPr>
        <w:t>甲方对技术成果享有完全所有权，所有的知识产权包括但不限于与本协议研发项目相关的著作权、专利申请权</w:t>
      </w:r>
      <w:r>
        <w:rPr>
          <w:rFonts w:hint="eastAsia"/>
        </w:rPr>
        <w:t>/</w:t>
      </w:r>
      <w:r>
        <w:rPr>
          <w:rFonts w:ascii="宋体" w:eastAsia="宋体" w:hAnsi="宋体" w:cs="宋体" w:hint="eastAsia"/>
        </w:rPr>
        <w:t>专利权等均归甲方所有。乙方保证其自身及其雇员特此放弃对该等知识产权所可能享有的一切权利。乙方应以文字方式等甲方合理要求的形式将与本协议研发项目相关的所有知识产权资料提供给甲方。</w:t>
      </w:r>
    </w:p>
    <w:p>
      <w:pPr>
        <w:snapToGrid w:val="0"/>
        <w:spacing w:afterLines="0" w:line="240" w:lineRule="auto"/>
        <w:ind w:firstLine="480" w:firstLineChars="200"/>
      </w:pPr>
      <w:r>
        <w:t xml:space="preserve">5.8.3 </w:t>
      </w:r>
      <w:r>
        <w:rPr>
          <w:rFonts w:ascii="宋体" w:eastAsia="宋体" w:hAnsi="宋体" w:cs="宋体" w:hint="eastAsia"/>
        </w:rPr>
        <w:t>乙方未经甲方书面同意，不得发表与甲方委托项目相关文章，不得以任何方式将与项目有关的信息透露给第三方。</w:t>
      </w:r>
    </w:p>
    <w:p>
      <w:pPr>
        <w:snapToGrid w:val="0"/>
        <w:spacing w:after="0" w:afterLines="0" w:line="240" w:lineRule="auto"/>
        <w:ind w:firstLine="480" w:firstLineChars="200"/>
      </w:pPr>
      <w:r>
        <w:t>5</w:t>
      </w:r>
      <w:r>
        <w:rPr>
          <w:rFonts w:hint="eastAsia"/>
        </w:rPr>
        <w:t>.</w:t>
      </w:r>
      <w:r>
        <w:t xml:space="preserve">8.4 </w:t>
      </w:r>
      <w:r>
        <w:rPr>
          <w:rFonts w:ascii="宋体" w:eastAsia="宋体" w:hAnsi="宋体" w:cs="宋体" w:hint="eastAsia"/>
        </w:rPr>
        <w:t>乙方理解和同意，甲方对于委托乙方实验的化合物、中间体、结构以及覆盖这些结构、化合物、数据、发现、技术和发明的全部知识产权，拥有全部的权利。上述产物无论是由甲方还是乙方获得，甲方都是任何与本协议有关的所有的数据、发现、技术和发明的所有者（无论是否可以申请或者注册专利、版权或类似的法律规定的其他权利），包括但不限于科学和技术的数据、用法、工艺、合成、分析结构或组分。</w:t>
      </w:r>
      <w:r>
        <w:rPr>
          <w:rFonts w:hint="eastAsia"/>
        </w:rPr>
        <w:t xml:space="preserve"> </w:t>
      </w:r>
    </w:p>
    <w:p>
      <w:pPr>
        <w:snapToGrid w:val="0"/>
        <w:spacing w:after="0" w:afterLines="0" w:line="240" w:lineRule="auto"/>
      </w:pPr>
      <w:r>
        <w:rPr>
          <w:rFonts w:hint="eastAsia"/>
        </w:rPr>
        <w:t xml:space="preserve"> </w:t>
      </w:r>
      <w:r>
        <w:t xml:space="preserve">       5.9 </w:t>
      </w:r>
      <w:r>
        <w:rPr>
          <w:rFonts w:ascii="宋体" w:eastAsia="宋体" w:hAnsi="宋体" w:cs="宋体" w:hint="eastAsia"/>
        </w:rPr>
        <w:t>协助。由于甲方委托乙方的工艺探索和开发研究将用作在中国以及国外注册申报新药，在未来任何时候，本研究的现场、产生的数据和原始记录等被中国或国外的国家食品药品监督管理局代表或其他管理官员、当地的健康官员、甲方的授权代表、机构审查委员会或伦理委员会的代表所检查时，乙方应予以协助。在药物申报过程中，如果需要乙方配合的时候，乙方应出面给予配合。由此产生的费用由甲方承担。</w:t>
      </w:r>
      <w:bookmarkEnd w:id="51"/>
    </w:p>
    <w:p>
      <w:pPr>
        <w:snapToGrid w:val="0"/>
        <w:spacing w:afterLines="0" w:line="240" w:lineRule="auto"/>
        <w:ind w:firstLine="480" w:firstLineChars="200"/>
        <w:rPr>
          <w:rFonts w:ascii="宋体" w:hAnsi="宋体"/>
          <w:b/>
          <w:bCs/>
          <w:szCs w:val="21"/>
        </w:rPr>
      </w:pPr>
      <w:r>
        <w:rPr>
          <w:rFonts w:ascii="宋体" w:hAnsi="宋体" w:hint="eastAsia"/>
          <w:b/>
          <w:bCs/>
          <w:szCs w:val="21"/>
        </w:rPr>
        <w:t>第六条  违约责任</w:t>
      </w:r>
    </w:p>
    <w:p>
      <w:pPr>
        <w:snapToGrid w:val="0"/>
        <w:spacing w:after="0" w:afterLines="0" w:line="240" w:lineRule="auto"/>
        <w:ind w:firstLine="480" w:firstLineChars="200"/>
      </w:pPr>
      <w:bookmarkStart w:id="52" w:name="_Hlk95504010"/>
      <w:r>
        <w:t xml:space="preserve">6.1 </w:t>
      </w:r>
      <w:r>
        <w:rPr>
          <w:rFonts w:ascii="宋体" w:eastAsia="宋体" w:hAnsi="宋体" w:cs="宋体" w:hint="eastAsia"/>
        </w:rPr>
        <w:t>若乙方逾期交付技术成果，除本协议另有约定，甲方可视具体情况以书面形式给予乙方合理的时间进行继续研究，该等</w:t>
      </w:r>
      <w:r>
        <w:rPr>
          <w:rFonts w:hint="default"/>
        </w:rPr>
        <w:t>“</w:t>
      </w:r>
      <w:r>
        <w:rPr>
          <w:rFonts w:ascii="宋体" w:eastAsia="宋体" w:hAnsi="宋体" w:cs="宋体" w:hint="eastAsia"/>
        </w:rPr>
        <w:t>合理的时间</w:t>
      </w:r>
      <w:r>
        <w:rPr>
          <w:rFonts w:hint="default"/>
        </w:rPr>
        <w:t>”</w:t>
      </w:r>
      <w:r>
        <w:rPr>
          <w:rFonts w:ascii="宋体" w:eastAsia="宋体" w:hAnsi="宋体" w:cs="宋体" w:hint="eastAsia"/>
        </w:rPr>
        <w:t>由双方共同确定；如果乙方在甲方要求的合理的时间内，仍未交付符合本协议要求的技术成果，则从该合理的时间到期之日起乙方应每周按未验收合格部分服务费总额的</w:t>
      </w:r>
      <w:r>
        <w:rPr>
          <w:u w:val="none"/>
        </w:rPr>
        <w:t xml:space="preserve">      </w:t>
      </w:r>
      <w:r>
        <w:rPr>
          <w:rFonts w:ascii="宋体" w:eastAsia="宋体" w:hAnsi="宋体" w:cs="宋体" w:hint="eastAsia"/>
        </w:rPr>
        <w:t>向甲方支付违约金。前述违约金总额不超过本协议的总额。逾期总天数超过</w:t>
      </w:r>
      <w:r>
        <w:t xml:space="preserve"> 60 </w:t>
      </w:r>
      <w:r>
        <w:rPr>
          <w:rFonts w:ascii="宋体" w:eastAsia="宋体" w:hAnsi="宋体" w:cs="宋体" w:hint="eastAsia"/>
        </w:rPr>
        <w:t>天的，甲方有权终止本协议。</w:t>
      </w:r>
    </w:p>
    <w:p>
      <w:pPr>
        <w:snapToGrid w:val="0"/>
        <w:spacing w:after="0" w:afterLines="0" w:line="240" w:lineRule="auto"/>
        <w:ind w:firstLine="480" w:firstLineChars="200"/>
      </w:pPr>
      <w:r>
        <w:rPr>
          <w:rFonts w:hint="eastAsia"/>
        </w:rPr>
        <w:t>6</w:t>
      </w:r>
      <w:r>
        <w:t xml:space="preserve">.2 </w:t>
      </w:r>
      <w:r>
        <w:rPr>
          <w:rFonts w:ascii="宋体" w:eastAsia="宋体" w:hAnsi="宋体" w:cs="宋体" w:hint="eastAsia"/>
        </w:rPr>
        <w:t>在本协议履行过程中，甲方迟延付款且经乙方书面催告后在</w:t>
      </w:r>
      <w:r>
        <w:rPr>
          <w:u w:val="none"/>
        </w:rPr>
        <w:t xml:space="preserve">  </w:t>
      </w:r>
      <w:r>
        <w:rPr>
          <w:rFonts w:ascii="宋体" w:eastAsia="宋体" w:hAnsi="宋体" w:cs="宋体" w:hint="eastAsia"/>
        </w:rPr>
        <w:t>（</w:t>
      </w:r>
      <w:r>
        <w:t xml:space="preserve"> </w:t>
      </w:r>
      <w:r>
        <w:rPr>
          <w:rFonts w:ascii="宋体" w:eastAsia="宋体" w:hAnsi="宋体" w:cs="宋体" w:hint="eastAsia"/>
        </w:rPr>
        <w:t>）个工作日内仍未支付的，甲方应每周按应付未付总额的</w:t>
      </w:r>
      <w:r>
        <w:rPr>
          <w:u w:val="none"/>
        </w:rPr>
        <w:t xml:space="preserve">      </w:t>
      </w:r>
      <w:r>
        <w:rPr>
          <w:rFonts w:ascii="宋体" w:eastAsia="宋体" w:hAnsi="宋体" w:cs="宋体" w:hint="eastAsia"/>
        </w:rPr>
        <w:t>向乙方支付逾期违约金。前述违约金总额不超过本协议的总额，逾期超过</w:t>
      </w:r>
      <w:r>
        <w:t>60</w:t>
      </w:r>
      <w:r>
        <w:rPr>
          <w:rFonts w:ascii="宋体" w:eastAsia="宋体" w:hAnsi="宋体" w:cs="宋体" w:hint="eastAsia"/>
        </w:rPr>
        <w:t>日的，乙方有权终止履行本协议。</w:t>
      </w:r>
    </w:p>
    <w:p>
      <w:pPr>
        <w:snapToGrid w:val="0"/>
        <w:spacing w:after="0" w:afterLines="0" w:line="240" w:lineRule="auto"/>
        <w:ind w:firstLine="480" w:firstLineChars="200"/>
      </w:pPr>
      <w:r>
        <w:t xml:space="preserve">6.3 </w:t>
      </w:r>
      <w:r>
        <w:rPr>
          <w:rFonts w:ascii="宋体" w:eastAsia="宋体" w:hAnsi="宋体" w:cs="宋体" w:hint="eastAsia"/>
        </w:rPr>
        <w:t>若甲方对乙方交付的成果部分或全部验收不合格，则甲方有权：（</w:t>
      </w:r>
      <w:r>
        <w:rPr>
          <w:rFonts w:hint="eastAsia"/>
        </w:rPr>
        <w:t>1</w:t>
      </w:r>
      <w:r>
        <w:rPr>
          <w:rFonts w:ascii="宋体" w:eastAsia="宋体" w:hAnsi="宋体" w:cs="宋体" w:hint="eastAsia"/>
        </w:rPr>
        <w:t>）退还乙方验收不合格部分的实验，并视具体情况给乙方合理的时间重新实验，该等</w:t>
      </w:r>
      <w:r>
        <w:rPr>
          <w:rFonts w:hint="default"/>
        </w:rPr>
        <w:t>“</w:t>
      </w:r>
      <w:r>
        <w:rPr>
          <w:rFonts w:ascii="宋体" w:eastAsia="宋体" w:hAnsi="宋体" w:cs="宋体" w:hint="eastAsia"/>
        </w:rPr>
        <w:t>合理的时间</w:t>
      </w:r>
      <w:r>
        <w:rPr>
          <w:rFonts w:hint="default"/>
        </w:rPr>
        <w:t>”</w:t>
      </w:r>
      <w:r>
        <w:rPr>
          <w:rFonts w:ascii="宋体" w:eastAsia="宋体" w:hAnsi="宋体" w:cs="宋体" w:hint="eastAsia"/>
        </w:rPr>
        <w:t>由双方共同确定；如果乙方在甲方要求的合理的时间内，仍未交付符合本协议要求的实验结果，则甲方有权终止</w:t>
      </w:r>
      <w:bookmarkStart w:id="53" w:name="OLE_LINK39"/>
      <w:bookmarkStart w:id="54" w:name="OLE_LINK44"/>
      <w:bookmarkStart w:id="55" w:name="OLE_LINK38"/>
      <w:bookmarkStart w:id="56" w:name="OLE_LINK45"/>
      <w:bookmarkStart w:id="57" w:name="OLE_LINK46"/>
      <w:bookmarkStart w:id="58" w:name="OLE_LINK40"/>
      <w:bookmarkStart w:id="59" w:name="OLE_LINK37"/>
      <w:r>
        <w:rPr>
          <w:rFonts w:ascii="宋体" w:eastAsia="宋体" w:hAnsi="宋体" w:cs="宋体" w:hint="eastAsia"/>
        </w:rPr>
        <w:t>本协议且无需因此对乙方进行任何补偿</w:t>
      </w:r>
      <w:bookmarkEnd w:id="53"/>
      <w:r>
        <w:rPr>
          <w:rFonts w:ascii="宋体" w:eastAsia="宋体" w:hAnsi="宋体" w:cs="宋体" w:hint="eastAsia"/>
        </w:rPr>
        <w:t>；或者（</w:t>
      </w:r>
      <w:r>
        <w:rPr>
          <w:rFonts w:hint="eastAsia"/>
        </w:rPr>
        <w:t>2</w:t>
      </w:r>
      <w:r>
        <w:rPr>
          <w:rFonts w:ascii="宋体" w:eastAsia="宋体" w:hAnsi="宋体" w:cs="宋体" w:hint="eastAsia"/>
        </w:rPr>
        <w:t>）直接终止本协议且无需因此对乙方进行任何补偿。乙方承诺，发现技术风险存在并有可能致使研究开发失败或部分失败的情形时，应当在</w:t>
      </w:r>
      <w:r>
        <w:rPr>
          <w:u w:val="none"/>
        </w:rPr>
        <w:t xml:space="preserve">   </w:t>
      </w:r>
      <w:r>
        <w:rPr>
          <w:rFonts w:ascii="宋体" w:eastAsia="宋体" w:hAnsi="宋体" w:cs="宋体" w:hint="eastAsia"/>
        </w:rPr>
        <w:t>日内书面通知甲方并采取适当措施减少损失。逾期未通知并未采取适当措施而致使损失扩大的，应当就扩大的直接损失向甲方承担赔偿责任。</w:t>
      </w:r>
      <w:r>
        <w:t xml:space="preserve"> </w:t>
      </w:r>
      <w:bookmarkEnd w:id="54"/>
      <w:bookmarkEnd w:id="55"/>
      <w:bookmarkEnd w:id="56"/>
      <w:bookmarkEnd w:id="57"/>
      <w:bookmarkEnd w:id="58"/>
      <w:bookmarkEnd w:id="59"/>
    </w:p>
    <w:p>
      <w:pPr>
        <w:snapToGrid w:val="0"/>
        <w:spacing w:after="0" w:afterLines="0" w:line="240" w:lineRule="auto"/>
        <w:ind w:firstLine="480" w:firstLineChars="200"/>
      </w:pPr>
      <w:r>
        <w:t xml:space="preserve">6.4 </w:t>
      </w:r>
      <w:r>
        <w:rPr>
          <w:rFonts w:ascii="宋体" w:eastAsia="宋体" w:hAnsi="宋体" w:cs="宋体" w:hint="eastAsia"/>
        </w:rPr>
        <w:t>因其他原因双方协商终止本协议的，自本协议终止之日起</w:t>
      </w:r>
      <w:r>
        <w:t>30</w:t>
      </w:r>
      <w:r>
        <w:rPr>
          <w:rFonts w:ascii="宋体" w:eastAsia="宋体" w:hAnsi="宋体" w:cs="宋体" w:hint="eastAsia"/>
        </w:rPr>
        <w:t>日内，在符合本协议其他规定的前提下，甲方应向乙方支付其已完成部分工作的相应的费用；未完成或验收不合格部分的款项若甲方已经支付的，乙方应予全数退还。任何形式的终止协议并在终止协议前取得的研究成果均归甲方所有。</w:t>
      </w:r>
    </w:p>
    <w:p>
      <w:pPr>
        <w:snapToGrid w:val="0"/>
        <w:spacing w:afterLines="0" w:line="240" w:lineRule="auto"/>
        <w:ind w:firstLine="480" w:firstLineChars="200"/>
      </w:pPr>
      <w:r>
        <w:rPr>
          <w:rFonts w:hint="eastAsia"/>
        </w:rPr>
        <w:t>6</w:t>
      </w:r>
      <w:r>
        <w:t xml:space="preserve">.5 </w:t>
      </w:r>
      <w:r>
        <w:rPr>
          <w:rFonts w:ascii="宋体" w:eastAsia="宋体" w:hAnsi="宋体" w:cs="宋体" w:hint="eastAsia"/>
        </w:rPr>
        <w:t>本协议履行过程中，任何一方违约，均应承担违约责任，守约方有权要求违约方赔偿其因此而产生的直接损失。但任何一方对因本协议或与本协议有关的各自的利润损失、预期利润损失、收入损失或商业障碍或任何其他间接的或后果性损失均互不承担任何责任。</w:t>
      </w:r>
    </w:p>
    <w:p>
      <w:pPr>
        <w:snapToGrid w:val="0"/>
        <w:spacing w:afterLines="0" w:line="240" w:lineRule="auto"/>
        <w:ind w:left="510"/>
        <w:rPr>
          <w:color w:val="000000"/>
        </w:rPr>
      </w:pPr>
      <w:bookmarkEnd w:id="52"/>
    </w:p>
    <w:p>
      <w:pPr>
        <w:snapToGrid w:val="0"/>
        <w:spacing w:afterLines="0" w:line="240" w:lineRule="auto"/>
        <w:ind w:firstLine="480" w:firstLineChars="200"/>
        <w:rPr>
          <w:rFonts w:ascii="宋体" w:hAnsi="宋体"/>
          <w:b/>
          <w:bCs/>
          <w:szCs w:val="21"/>
        </w:rPr>
      </w:pPr>
      <w:r>
        <w:rPr>
          <w:rFonts w:ascii="宋体" w:hAnsi="宋体" w:hint="eastAsia"/>
          <w:b/>
          <w:bCs/>
          <w:szCs w:val="21"/>
        </w:rPr>
        <w:t>第七条  不可抗力</w:t>
      </w:r>
    </w:p>
    <w:p>
      <w:pPr>
        <w:snapToGrid w:val="0"/>
        <w:spacing w:afterLines="0" w:line="240" w:lineRule="auto"/>
        <w:ind w:firstLine="480" w:firstLineChars="200"/>
      </w:pPr>
      <w:bookmarkStart w:id="60" w:name="_Hlk95504020"/>
      <w:r>
        <w:t xml:space="preserve">7.1 </w:t>
      </w:r>
      <w:r>
        <w:rPr>
          <w:rFonts w:hint="eastAsia"/>
        </w:rPr>
        <w:t>“</w:t>
      </w:r>
      <w:r>
        <w:rPr>
          <w:rFonts w:ascii="宋体" w:eastAsia="宋体" w:hAnsi="宋体" w:cs="宋体" w:hint="eastAsia"/>
        </w:rPr>
        <w:t>不可抗力</w:t>
      </w:r>
      <w:r>
        <w:rPr>
          <w:rFonts w:hint="eastAsia"/>
        </w:rPr>
        <w:t>”</w:t>
      </w:r>
      <w:r>
        <w:rPr>
          <w:rFonts w:ascii="宋体" w:eastAsia="宋体" w:hAnsi="宋体" w:cs="宋体" w:hint="eastAsia"/>
        </w:rPr>
        <w:t>是指本协议生效后，发生不能预见并且对其发生和后果不能防止或避免的事件，如地震、台风、水灾、火灾、战争、新冠疫情等，致使直接影响本协议的履行或不能按约定的条件履行。</w:t>
      </w:r>
    </w:p>
    <w:p>
      <w:pPr>
        <w:snapToGrid w:val="0"/>
        <w:spacing w:afterLines="0" w:line="240" w:lineRule="auto"/>
        <w:ind w:firstLine="480" w:firstLineChars="200"/>
      </w:pPr>
      <w:r>
        <w:t xml:space="preserve">7.2 </w:t>
      </w:r>
      <w:r>
        <w:rPr>
          <w:rFonts w:ascii="宋体" w:eastAsia="宋体" w:hAnsi="宋体" w:cs="宋体" w:hint="eastAsia"/>
        </w:rPr>
        <w:t>发生不可抗力的一方应立即通知对方，并在五天内提供不可抗力的详情及将有关证明文件送交对方。</w:t>
      </w:r>
    </w:p>
    <w:p>
      <w:pPr>
        <w:snapToGrid w:val="0"/>
        <w:spacing w:afterLines="0" w:line="240" w:lineRule="auto"/>
        <w:ind w:firstLine="480" w:firstLineChars="200"/>
      </w:pPr>
      <w:r>
        <w:rPr>
          <w:rFonts w:hint="eastAsia"/>
        </w:rPr>
        <w:t>7</w:t>
      </w:r>
      <w:r>
        <w:t xml:space="preserve">.3 </w:t>
      </w:r>
      <w:r>
        <w:rPr>
          <w:rFonts w:ascii="宋体" w:eastAsia="宋体" w:hAnsi="宋体" w:cs="宋体" w:hint="eastAsia"/>
        </w:rPr>
        <w:t>发生不可抗力事件时，甲乙双方应协商以寻找一个合理的解决方法，并尽一切努力减轻不可抗力产生的后果。</w:t>
      </w:r>
    </w:p>
    <w:p>
      <w:pPr>
        <w:snapToGrid w:val="0"/>
        <w:spacing w:afterLines="0" w:line="240" w:lineRule="auto"/>
        <w:ind w:firstLine="480" w:firstLineChars="200"/>
      </w:pPr>
      <w:r>
        <w:t xml:space="preserve">7.4 </w:t>
      </w:r>
      <w:r>
        <w:rPr>
          <w:rFonts w:ascii="宋体" w:eastAsia="宋体" w:hAnsi="宋体" w:cs="宋体" w:hint="eastAsia"/>
        </w:rPr>
        <w:t>如不可抗力事件持续十五天时，甲乙双方应友好协商解决本协议是否继续履行或终止的问题。</w:t>
      </w:r>
    </w:p>
    <w:p>
      <w:pPr>
        <w:snapToGrid w:val="0"/>
        <w:spacing w:after="0" w:afterLines="0" w:line="240" w:lineRule="auto"/>
        <w:ind w:firstLine="480" w:firstLineChars="200"/>
      </w:pPr>
      <w:bookmarkStart w:id="61" w:name="#371857"/>
      <w:bookmarkEnd w:id="61"/>
      <w:bookmarkStart w:id="62" w:name="#371858"/>
      <w:bookmarkEnd w:id="62"/>
      <w:bookmarkStart w:id="63" w:name="#371860"/>
      <w:bookmarkEnd w:id="63"/>
      <w:r>
        <w:t xml:space="preserve">7.5 </w:t>
      </w:r>
      <w:r>
        <w:rPr>
          <w:rFonts w:ascii="宋体" w:eastAsia="宋体" w:hAnsi="宋体" w:cs="宋体" w:hint="eastAsia"/>
        </w:rPr>
        <w:t>在履行本协议的过程中，由于国家法规或政策发生重大变化等原因导致本协议不能继续执行，双方各自承担自己的损失，本协议自动终止。由于国家法规或政策发生重大变化等原因导致本协议标的需作重大调整时，对调整后的内容所产生的费用双方另行协商解决。</w:t>
      </w:r>
    </w:p>
    <w:p>
      <w:pPr>
        <w:snapToGrid w:val="0"/>
        <w:spacing w:afterLines="0" w:line="240" w:lineRule="auto"/>
        <w:ind w:firstLine="480" w:firstLineChars="200"/>
        <w:rPr>
          <w:rFonts w:ascii="宋体" w:hAnsi="宋体"/>
          <w:b/>
          <w:bCs/>
          <w:szCs w:val="21"/>
        </w:rPr>
      </w:pPr>
      <w:bookmarkEnd w:id="60"/>
      <w:r>
        <w:rPr>
          <w:rFonts w:ascii="宋体" w:hAnsi="宋体" w:hint="eastAsia"/>
          <w:b/>
          <w:bCs/>
          <w:szCs w:val="21"/>
        </w:rPr>
        <w:t>第八条  争议解决</w:t>
      </w:r>
    </w:p>
    <w:p>
      <w:pPr>
        <w:snapToGrid w:val="0"/>
        <w:spacing w:afterLines="0" w:line="240" w:lineRule="auto"/>
      </w:pPr>
      <w:r>
        <w:t xml:space="preserve"> </w:t>
      </w:r>
      <w:r>
        <w:rPr>
          <w:rFonts w:hint="eastAsia"/>
        </w:rPr>
        <w:t xml:space="preserve"> </w:t>
      </w:r>
      <w:r>
        <w:t xml:space="preserve">      </w:t>
      </w:r>
      <w:bookmarkStart w:id="64" w:name="_Hlk95504035"/>
      <w:r>
        <w:t>8</w:t>
      </w:r>
      <w:r>
        <w:rPr>
          <w:rFonts w:hint="eastAsia"/>
        </w:rPr>
        <w:t>.1</w:t>
      </w:r>
      <w:r>
        <w:t xml:space="preserve"> </w:t>
      </w:r>
      <w:r>
        <w:rPr>
          <w:rFonts w:ascii="宋体" w:eastAsia="宋体" w:hAnsi="宋体" w:cs="宋体" w:hint="eastAsia"/>
        </w:rPr>
        <w:t>本协议及其修订本的有效性、履行和与本协议及其修订本效力有关的所有事宜，将受中华人民共和国法律管辖，任何争议仅适用中华人民共和国法律。</w:t>
      </w:r>
    </w:p>
    <w:p>
      <w:pPr>
        <w:snapToGrid w:val="0"/>
        <w:spacing w:afterLines="0" w:line="240" w:lineRule="auto"/>
        <w:ind w:firstLine="480" w:firstLineChars="200"/>
      </w:pPr>
      <w:r>
        <w:t xml:space="preserve">8.2 </w:t>
      </w:r>
      <w:r>
        <w:rPr>
          <w:rFonts w:ascii="宋体" w:eastAsia="宋体" w:hAnsi="宋体" w:cs="宋体" w:hint="eastAsia"/>
        </w:rPr>
        <w:t>甲乙双方因本协议的解释或履行发生争议时，首先应争取通过友好协商解决，该协商应在</w:t>
      </w:r>
      <w:r>
        <w:rPr>
          <w:u w:val="none"/>
        </w:rPr>
        <w:t xml:space="preserve">   </w:t>
      </w:r>
      <w:r>
        <w:rPr>
          <w:rFonts w:ascii="宋体" w:eastAsia="宋体" w:hAnsi="宋体" w:cs="宋体" w:hint="eastAsia"/>
        </w:rPr>
        <w:t>天内解决。</w:t>
      </w:r>
    </w:p>
    <w:p>
      <w:pPr>
        <w:snapToGrid w:val="0"/>
        <w:spacing w:afterLines="0" w:line="240" w:lineRule="auto"/>
        <w:ind w:firstLine="480" w:firstLineChars="200"/>
      </w:pPr>
      <w:r>
        <w:t xml:space="preserve">8.3 </w:t>
      </w:r>
      <w:r>
        <w:rPr>
          <w:rFonts w:ascii="宋体" w:eastAsia="宋体" w:hAnsi="宋体" w:cs="宋体" w:hint="eastAsia"/>
        </w:rPr>
        <w:t>如协商不能解决时，任何一方可将争议提交被告所在地有管辖权的人民法院进行起诉。</w:t>
      </w:r>
    </w:p>
    <w:p>
      <w:pPr>
        <w:snapToGrid w:val="0"/>
        <w:spacing w:afterLines="0" w:line="240" w:lineRule="auto"/>
        <w:ind w:firstLine="480" w:firstLineChars="200"/>
      </w:pPr>
      <w:r>
        <w:t xml:space="preserve">8.4 </w:t>
      </w:r>
      <w:r>
        <w:rPr>
          <w:rFonts w:ascii="宋体" w:eastAsia="宋体" w:hAnsi="宋体" w:cs="宋体" w:hint="eastAsia"/>
        </w:rPr>
        <w:t>争议进行诉讼期间，除争议事项外，甲乙双方应继续履行各自在本协议中的义务和行使权利。</w:t>
      </w:r>
    </w:p>
    <w:p>
      <w:pPr>
        <w:snapToGrid w:val="0"/>
        <w:spacing w:afterLines="0" w:line="240" w:lineRule="auto"/>
      </w:pPr>
      <w:bookmarkEnd w:id="64"/>
    </w:p>
    <w:p>
      <w:pPr>
        <w:snapToGrid w:val="0"/>
        <w:spacing w:afterLines="0" w:line="240" w:lineRule="auto"/>
        <w:ind w:firstLine="480" w:firstLineChars="200"/>
        <w:rPr>
          <w:rFonts w:ascii="宋体" w:hAnsi="宋体"/>
          <w:b/>
          <w:bCs/>
          <w:szCs w:val="21"/>
        </w:rPr>
      </w:pPr>
      <w:r>
        <w:rPr>
          <w:rFonts w:ascii="宋体" w:hAnsi="宋体" w:hint="eastAsia"/>
          <w:b/>
          <w:bCs/>
          <w:szCs w:val="21"/>
        </w:rPr>
        <w:t>第九条</w:t>
      </w:r>
      <w:r>
        <w:rPr>
          <w:rFonts w:ascii="宋体" w:hAnsi="宋体"/>
          <w:b/>
          <w:bCs/>
          <w:szCs w:val="21"/>
        </w:rPr>
        <w:t xml:space="preserve"> </w:t>
      </w:r>
      <w:r>
        <w:rPr>
          <w:rFonts w:ascii="宋体" w:hAnsi="宋体" w:hint="eastAsia"/>
          <w:b/>
          <w:bCs/>
          <w:szCs w:val="21"/>
        </w:rPr>
        <w:t>补充与附件</w:t>
      </w:r>
    </w:p>
    <w:p>
      <w:pPr>
        <w:snapToGrid w:val="0"/>
        <w:spacing w:afterLines="0" w:line="240" w:lineRule="auto"/>
        <w:ind w:firstLine="480" w:firstLineChars="200"/>
      </w:pPr>
      <w:r>
        <w:rPr>
          <w:rFonts w:hint="eastAsia"/>
        </w:rPr>
        <w:t>本协议未尽事宜，依照有关法律、法规执行，法律、法规未作规定的，双方可以达成书面补充合同。本协议的附件和补充合同均为本协议不可分割的组成部分，与本协议具有同等的法律效力。</w:t>
      </w:r>
    </w:p>
    <w:p>
      <w:pPr>
        <w:snapToGrid w:val="0"/>
        <w:spacing w:afterLines="0" w:line="240" w:lineRule="auto"/>
      </w:pPr>
    </w:p>
    <w:p>
      <w:pPr>
        <w:snapToGrid w:val="0"/>
        <w:spacing w:afterLines="0" w:line="240" w:lineRule="auto"/>
        <w:ind w:firstLine="480" w:firstLineChars="200"/>
        <w:rPr>
          <w:rFonts w:ascii="宋体" w:hAnsi="宋体"/>
          <w:b/>
          <w:bCs/>
          <w:szCs w:val="21"/>
        </w:rPr>
      </w:pPr>
      <w:r>
        <w:rPr>
          <w:rFonts w:ascii="宋体" w:hAnsi="宋体" w:hint="eastAsia"/>
          <w:b/>
          <w:bCs/>
          <w:szCs w:val="21"/>
        </w:rPr>
        <w:t>第十条</w:t>
      </w:r>
      <w:r>
        <w:rPr>
          <w:rFonts w:ascii="宋体" w:hAnsi="宋体"/>
          <w:b/>
          <w:bCs/>
          <w:szCs w:val="21"/>
        </w:rPr>
        <w:t xml:space="preserve"> </w:t>
      </w:r>
      <w:r>
        <w:rPr>
          <w:rFonts w:ascii="宋体" w:hAnsi="宋体" w:hint="eastAsia"/>
          <w:b/>
          <w:bCs/>
          <w:szCs w:val="21"/>
        </w:rPr>
        <w:t>协议效力和期限</w:t>
      </w:r>
    </w:p>
    <w:p>
      <w:pPr>
        <w:snapToGrid w:val="0"/>
        <w:spacing w:after="0" w:afterLines="0" w:line="240" w:lineRule="auto"/>
        <w:ind w:firstLine="480" w:firstLineChars="200"/>
      </w:pPr>
      <w:r>
        <w:rPr>
          <w:rFonts w:hint="eastAsia"/>
        </w:rPr>
        <w:t>本协议自双方法定代表人或其授权代表人签字并加盖公章或合同专用章之日起生效。本协议有效期为</w:t>
      </w:r>
      <w:r>
        <w:rPr>
          <w:u w:val="single"/>
        </w:rPr>
        <w:t xml:space="preserve">   </w:t>
      </w:r>
      <w:r>
        <w:rPr>
          <w:rFonts w:hint="eastAsia"/>
        </w:rPr>
        <w:t>年，自生效日起计算。本协议正本一式陆份，甲乙双方各执叁份，具有同等法律效力。</w:t>
      </w:r>
    </w:p>
    <w:p>
      <w:pPr>
        <w:pStyle w:val="NormalWeb"/>
        <w:snapToGrid w:val="0"/>
        <w:spacing w:afterLines="0"/>
        <w:ind w:firstLine="480" w:firstLineChars="200"/>
        <w:jc w:val="both"/>
        <w:rPr>
          <w:rFonts w:ascii="宋体" w:hAnsi="宋体"/>
          <w:color w:val="000000"/>
          <w:sz w:val="22"/>
          <w:szCs w:val="22"/>
        </w:rPr>
      </w:pPr>
      <w:r>
        <w:rPr>
          <w:rFonts w:hint="eastAsia"/>
          <w:color w:val="000000"/>
          <w:sz w:val="22"/>
          <w:szCs w:val="22"/>
        </w:rPr>
        <w:t>（以下无正文，为签署页）</w:t>
      </w:r>
    </w:p>
    <w:p>
      <w:pPr>
        <w:snapToGrid w:val="0"/>
        <w:spacing w:afterLines="0"/>
        <w:contextualSpacing/>
        <w:rPr>
          <w:b/>
          <w:sz w:val="22"/>
          <w:szCs w:val="22"/>
        </w:rPr>
      </w:pPr>
    </w:p>
    <w:p>
      <w:pPr>
        <w:snapToGrid w:val="0"/>
        <w:spacing w:afterLines="0"/>
        <w:contextualSpacing/>
        <w:rPr>
          <w:b/>
          <w:sz w:val="22"/>
          <w:szCs w:val="22"/>
        </w:rPr>
      </w:pPr>
      <w:r>
        <w:rPr>
          <w:rFonts w:hint="eastAsia"/>
          <w:b/>
          <w:sz w:val="22"/>
          <w:szCs w:val="22"/>
        </w:rPr>
        <w:t>（签署页）</w:t>
      </w:r>
    </w:p>
    <w:p>
      <w:pPr>
        <w:snapToGrid w:val="0"/>
        <w:spacing w:afterLines="0"/>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乙方：</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pPr>
        <w:snapToGrid w:val="0"/>
        <w:spacing w:afterLines="0"/>
        <w:ind w:firstLine="2160" w:firstLineChars="900"/>
        <w:rPr>
          <w:rFonts w:ascii="宋体" w:hAnsi="宋体"/>
          <w:szCs w:val="21"/>
        </w:rPr>
      </w:pPr>
      <w:r>
        <w:rPr>
          <w:rFonts w:ascii="宋体" w:hAnsi="宋体" w:hint="eastAsia"/>
          <w:szCs w:val="21"/>
        </w:rPr>
        <w:t xml:space="preserve">（签章）                 </w:t>
      </w:r>
      <w:r>
        <w:rPr>
          <w:rFonts w:ascii="宋体" w:hAnsi="宋体"/>
          <w:szCs w:val="21"/>
        </w:rPr>
        <w:t xml:space="preserve">        </w:t>
      </w:r>
      <w:r>
        <w:rPr>
          <w:rFonts w:ascii="宋体" w:hAnsi="宋体" w:hint="eastAsia"/>
          <w:szCs w:val="21"/>
        </w:rPr>
        <w:t xml:space="preserve">        （签章）</w:t>
      </w:r>
    </w:p>
    <w:p>
      <w:pPr>
        <w:snapToGrid w:val="0"/>
        <w:spacing w:afterLines="0"/>
        <w:ind w:firstLine="3120" w:firstLineChars="1300"/>
        <w:rPr>
          <w:rFonts w:ascii="宋体" w:hAnsi="宋体"/>
          <w:szCs w:val="21"/>
        </w:rPr>
      </w:pPr>
      <w:r>
        <w:rPr>
          <w:rFonts w:ascii="宋体" w:hAnsi="宋体" w:hint="eastAsia"/>
          <w:szCs w:val="21"/>
        </w:rPr>
        <w:t xml:space="preserve">              </w:t>
      </w:r>
      <w:r>
        <w:rPr>
          <w:rFonts w:ascii="宋体" w:hAnsi="宋体"/>
          <w:szCs w:val="21"/>
        </w:rPr>
        <w:t xml:space="preserve"> </w:t>
      </w:r>
    </w:p>
    <w:p>
      <w:pPr>
        <w:snapToGrid w:val="0"/>
        <w:spacing w:afterLines="0"/>
        <w:ind w:firstLine="480" w:firstLineChars="200"/>
        <w:rPr>
          <w:rFonts w:ascii="宋体" w:hAnsi="宋体"/>
          <w:szCs w:val="21"/>
        </w:rPr>
      </w:pPr>
      <w:r>
        <w:rPr>
          <w:rFonts w:ascii="宋体" w:hAnsi="宋体" w:hint="eastAsia"/>
          <w:szCs w:val="21"/>
        </w:rPr>
        <w:t xml:space="preserve">地址：                        </w:t>
      </w:r>
      <w:r>
        <w:rPr>
          <w:rFonts w:ascii="宋体" w:hAnsi="宋体"/>
          <w:szCs w:val="21"/>
        </w:rPr>
        <w:t xml:space="preserve">        </w:t>
      </w:r>
      <w:r>
        <w:rPr>
          <w:rFonts w:ascii="宋体" w:hAnsi="宋体" w:hint="eastAsia"/>
          <w:szCs w:val="21"/>
        </w:rPr>
        <w:t xml:space="preserve">地址： </w:t>
      </w:r>
    </w:p>
    <w:p>
      <w:pPr>
        <w:snapToGrid w:val="0"/>
        <w:spacing w:afterLines="0"/>
        <w:ind w:firstLine="0" w:firstLineChars="0"/>
        <w:rPr>
          <w:rFonts w:ascii="宋体" w:hAnsi="宋体"/>
          <w:szCs w:val="21"/>
        </w:rPr>
      </w:pPr>
      <w:r>
        <w:rPr>
          <w:rFonts w:ascii="宋体" w:hAnsi="宋体" w:hint="eastAsia"/>
          <w:szCs w:val="21"/>
        </w:rPr>
        <w:t>法定代表人或授权代表：（签章）</w:t>
      </w:r>
      <w:r>
        <w:rPr>
          <w:rFonts w:ascii="宋体" w:hAnsi="宋体"/>
          <w:szCs w:val="21"/>
        </w:rPr>
        <w:t xml:space="preserve">         </w:t>
      </w:r>
      <w:r>
        <w:rPr>
          <w:rFonts w:ascii="宋体" w:hAnsi="宋体" w:hint="eastAsia"/>
          <w:szCs w:val="21"/>
        </w:rPr>
        <w:t>法定代表人或授权代表：（签章）</w:t>
      </w:r>
    </w:p>
    <w:p>
      <w:pPr>
        <w:snapToGrid w:val="0"/>
        <w:spacing w:afterLines="0"/>
        <w:ind w:firstLine="480" w:firstLineChars="200"/>
        <w:rPr>
          <w:rFonts w:ascii="宋体" w:hAnsi="宋体"/>
          <w:szCs w:val="21"/>
        </w:rPr>
      </w:pPr>
      <w:r>
        <w:rPr>
          <w:rFonts w:ascii="宋体" w:hAnsi="宋体" w:hint="eastAsia"/>
          <w:szCs w:val="21"/>
        </w:rPr>
        <w:t xml:space="preserve">开户行：                   </w:t>
      </w:r>
      <w:r>
        <w:rPr>
          <w:rFonts w:ascii="宋体" w:hAnsi="宋体"/>
          <w:szCs w:val="21"/>
        </w:rPr>
        <w:t xml:space="preserve">        </w:t>
      </w:r>
      <w:r>
        <w:rPr>
          <w:rFonts w:ascii="宋体" w:hAnsi="宋体" w:hint="eastAsia"/>
          <w:szCs w:val="21"/>
        </w:rPr>
        <w:t xml:space="preserve">   开户行：</w:t>
      </w:r>
    </w:p>
    <w:p>
      <w:pPr>
        <w:snapToGrid w:val="0"/>
        <w:spacing w:afterLines="0"/>
        <w:ind w:firstLine="480" w:firstLineChars="200"/>
        <w:rPr>
          <w:rFonts w:ascii="宋体" w:hAnsi="宋体"/>
          <w:szCs w:val="21"/>
        </w:rPr>
      </w:pPr>
      <w:r>
        <w:rPr>
          <w:rFonts w:ascii="宋体" w:hAnsi="宋体" w:hint="eastAsia"/>
          <w:szCs w:val="21"/>
        </w:rPr>
        <w:t>人民币账号：</w:t>
      </w:r>
      <w:r>
        <w:rPr>
          <w:rFonts w:ascii="宋体" w:hAnsi="宋体"/>
          <w:szCs w:val="21"/>
        </w:rPr>
        <w:t xml:space="preserve">        </w:t>
      </w:r>
      <w:r>
        <w:rPr>
          <w:rFonts w:ascii="宋体" w:hAnsi="宋体" w:hint="eastAsia"/>
          <w:szCs w:val="21"/>
        </w:rPr>
        <w:t xml:space="preserve">                  人民币账号：</w:t>
      </w:r>
    </w:p>
    <w:p>
      <w:pPr>
        <w:snapToGrid w:val="0"/>
        <w:spacing w:afterLines="0"/>
        <w:ind w:firstLine="480" w:firstLineChars="200"/>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 xml:space="preserve">          联系人：</w:t>
      </w:r>
    </w:p>
    <w:p>
      <w:pPr>
        <w:snapToGrid w:val="0"/>
        <w:spacing w:afterLines="0"/>
        <w:ind w:firstLine="480" w:firstLineChars="200"/>
        <w:rPr>
          <w:rFonts w:ascii="宋体" w:hAnsi="宋体"/>
          <w:szCs w:val="21"/>
        </w:rPr>
      </w:pPr>
      <w:r>
        <w:rPr>
          <w:rFonts w:ascii="宋体" w:hAnsi="宋体" w:hint="eastAsia"/>
          <w:szCs w:val="21"/>
        </w:rPr>
        <w:t xml:space="preserve">电话：                      </w:t>
      </w:r>
      <w:r>
        <w:rPr>
          <w:rFonts w:ascii="宋体" w:hAnsi="宋体"/>
          <w:szCs w:val="21"/>
        </w:rPr>
        <w:t xml:space="preserve">        </w:t>
      </w:r>
      <w:r>
        <w:rPr>
          <w:rFonts w:ascii="宋体" w:hAnsi="宋体" w:hint="eastAsia"/>
          <w:szCs w:val="21"/>
        </w:rPr>
        <w:t xml:space="preserve">  电话：</w:t>
      </w:r>
    </w:p>
    <w:p>
      <w:pPr>
        <w:snapToGrid w:val="0"/>
        <w:spacing w:afterLines="0"/>
        <w:ind w:firstLine="480" w:firstLineChars="20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日期：</w:t>
      </w:r>
    </w:p>
    <w:p/>
    <w:p>
      <w:pPr>
        <w:ind w:firstLine="480" w:firstLineChars="200"/>
        <w:rPr>
          <w:rFonts w:ascii="宋体" w:hAnsi="宋体" w:eastAsiaTheme="minorEastAsia"/>
          <w:szCs w:val="21"/>
        </w:rPr>
      </w:pPr>
    </w:p>
    <w:p>
      <w:pPr>
        <w:pStyle w:val="BodyText"/>
        <w:rPr>
          <w:rFonts w:eastAsiaTheme="minorEastAsia"/>
        </w:rPr>
      </w:pPr>
    </w:p>
    <w:p>
      <w:pPr>
        <w:pStyle w:val="Quote"/>
      </w:pPr>
    </w:p>
    <w:p>
      <w:pPr>
        <w:rPr>
          <w:rFonts w:eastAsiaTheme="minorEastAsia"/>
        </w:rPr>
      </w:pPr>
    </w:p>
    <w:p>
      <w:pPr>
        <w:pStyle w:val="BodyText"/>
        <w:ind w:firstLine="480" w:firstLineChars="200"/>
        <w:rPr>
          <w:rFonts w:ascii="宋体" w:hAnsi="宋体" w:eastAsiaTheme="minorEastAsia" w:hint="eastAsia"/>
          <w:szCs w:val="21"/>
        </w:rPr>
      </w:pPr>
    </w:p>
    <w:p>
      <w:pPr>
        <w:spacing w:line="360" w:lineRule="auto"/>
        <w:jc w:val="center"/>
        <w:outlineLvl w:val="1"/>
        <w:rPr>
          <w:rFonts w:eastAsia="宋体"/>
          <w:szCs w:val="20"/>
        </w:rPr>
      </w:pPr>
      <w:r>
        <w:rPr>
          <w:rFonts w:hint="eastAsia"/>
        </w:rPr>
        <w:t xml:space="preserve">第六章  </w:t>
      </w:r>
      <w:r>
        <w:rPr>
          <w:rFonts w:eastAsia="宋体" w:hint="eastAsia"/>
          <w:szCs w:val="20"/>
        </w:rPr>
        <w:t>政府采购履约异常情况反馈表</w:t>
      </w:r>
    </w:p>
    <w:p>
      <w:pPr>
        <w:spacing w:line="240" w:lineRule="atLeast"/>
        <w:rPr>
          <w:rFonts w:ascii="宋体" w:hAnsi="宋体"/>
          <w:b/>
          <w:szCs w:val="21"/>
        </w:rPr>
      </w:pPr>
    </w:p>
    <w:p>
      <w:pPr>
        <w:spacing w:line="240" w:lineRule="atLeast"/>
        <w:rPr>
          <w:rFonts w:ascii="宋体" w:hAnsi="宋体"/>
          <w:b/>
          <w:szCs w:val="21"/>
        </w:rPr>
      </w:pPr>
      <w:r>
        <w:rPr>
          <w:rFonts w:ascii="宋体" w:hAnsi="宋体" w:hint="eastAsia"/>
          <w:b/>
          <w:szCs w:val="21"/>
        </w:rPr>
        <w:t>采购人名称：                       联系人及电话：</w:t>
      </w:r>
    </w:p>
    <w:p>
      <w:pPr>
        <w:spacing w:line="60" w:lineRule="exact"/>
        <w:rPr>
          <w:rFonts w:ascii="宋体" w:hAnsi="宋体"/>
          <w:b/>
          <w:szCs w:val="21"/>
        </w:rPr>
      </w:pPr>
    </w:p>
    <w:tbl>
      <w:tblPr>
        <w:tblStyle w:val="TableNormal"/>
        <w:tblW w:w="96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974"/>
        <w:gridCol w:w="909"/>
        <w:gridCol w:w="1075"/>
        <w:gridCol w:w="2165"/>
        <w:gridCol w:w="1980"/>
        <w:gridCol w:w="2497"/>
      </w:tblGrid>
      <w:tr>
        <w:tblPrEx>
          <w:tblW w:w="96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Ex>
        <w:trPr>
          <w:trHeight w:val="450"/>
          <w:jc w:val="center"/>
        </w:trPr>
        <w:tc>
          <w:tcPr>
            <w:tcW w:w="2958" w:type="dxa"/>
            <w:gridSpan w:val="3"/>
            <w:vAlign w:val="center"/>
          </w:tcPr>
          <w:p>
            <w:pPr>
              <w:spacing w:line="240" w:lineRule="atLeast"/>
              <w:jc w:val="center"/>
              <w:rPr>
                <w:rFonts w:ascii="宋体" w:hAnsi="宋体"/>
                <w:szCs w:val="21"/>
              </w:rPr>
            </w:pPr>
            <w:r>
              <w:rPr>
                <w:rFonts w:ascii="宋体" w:hAnsi="宋体" w:hint="eastAsia"/>
                <w:szCs w:val="21"/>
              </w:rPr>
              <w:t>采购项目名称</w:t>
            </w:r>
          </w:p>
        </w:tc>
        <w:tc>
          <w:tcPr>
            <w:tcW w:w="2165"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ascii="宋体" w:hAnsi="宋体" w:hint="eastAsia"/>
                <w:szCs w:val="21"/>
              </w:rPr>
              <w:t>项目编号</w:t>
            </w:r>
          </w:p>
        </w:tc>
        <w:tc>
          <w:tcPr>
            <w:tcW w:w="2497" w:type="dxa"/>
            <w:vAlign w:val="center"/>
          </w:tcPr>
          <w:p>
            <w:pPr>
              <w:spacing w:line="240" w:lineRule="atLeast"/>
              <w:jc w:val="center"/>
              <w:rPr>
                <w:rFonts w:ascii="宋体" w:hAnsi="宋体"/>
                <w:szCs w:val="21"/>
              </w:rPr>
            </w:pPr>
          </w:p>
        </w:tc>
      </w:tr>
      <w:tr>
        <w:tblPrEx>
          <w:tblW w:w="9600" w:type="dxa"/>
          <w:jc w:val="center"/>
          <w:tblLayout w:type="fixed"/>
          <w:tblCellMar>
            <w:top w:w="0" w:type="dxa"/>
            <w:left w:w="108" w:type="dxa"/>
            <w:bottom w:w="0" w:type="dxa"/>
            <w:right w:w="108" w:type="dxa"/>
          </w:tblCellMar>
        </w:tblPrEx>
        <w:trPr>
          <w:trHeight w:val="461"/>
          <w:jc w:val="center"/>
        </w:trPr>
        <w:tc>
          <w:tcPr>
            <w:tcW w:w="2958" w:type="dxa"/>
            <w:gridSpan w:val="3"/>
            <w:vAlign w:val="center"/>
          </w:tcPr>
          <w:p>
            <w:pPr>
              <w:spacing w:line="240" w:lineRule="atLeast"/>
              <w:jc w:val="center"/>
              <w:rPr>
                <w:rFonts w:ascii="宋体" w:hAnsi="宋体"/>
                <w:szCs w:val="21"/>
              </w:rPr>
            </w:pPr>
            <w:r>
              <w:rPr>
                <w:rFonts w:ascii="宋体" w:hAnsi="宋体" w:hint="eastAsia"/>
                <w:szCs w:val="21"/>
              </w:rPr>
              <w:t>中标供应商名称</w:t>
            </w:r>
          </w:p>
        </w:tc>
        <w:tc>
          <w:tcPr>
            <w:tcW w:w="2165"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ascii="宋体" w:hAnsi="宋体" w:hint="eastAsia"/>
                <w:szCs w:val="21"/>
              </w:rPr>
              <w:t>供应商</w:t>
            </w:r>
          </w:p>
          <w:p>
            <w:pPr>
              <w:spacing w:line="240" w:lineRule="atLeast"/>
              <w:jc w:val="center"/>
              <w:rPr>
                <w:rFonts w:ascii="宋体" w:hAnsi="宋体"/>
                <w:szCs w:val="21"/>
              </w:rPr>
            </w:pPr>
            <w:r>
              <w:rPr>
                <w:rFonts w:ascii="宋体" w:hAnsi="宋体" w:hint="eastAsia"/>
                <w:szCs w:val="21"/>
              </w:rPr>
              <w:t>联系人及电话</w:t>
            </w:r>
          </w:p>
        </w:tc>
        <w:tc>
          <w:tcPr>
            <w:tcW w:w="2497" w:type="dxa"/>
            <w:vAlign w:val="center"/>
          </w:tcPr>
          <w:p>
            <w:pPr>
              <w:spacing w:line="240" w:lineRule="atLeast"/>
              <w:jc w:val="center"/>
              <w:rPr>
                <w:rFonts w:ascii="宋体" w:hAnsi="宋体"/>
                <w:szCs w:val="21"/>
              </w:rPr>
            </w:pPr>
          </w:p>
        </w:tc>
      </w:tr>
      <w:tr>
        <w:tblPrEx>
          <w:tblW w:w="9600" w:type="dxa"/>
          <w:jc w:val="center"/>
          <w:tblLayout w:type="fixed"/>
          <w:tblCellMar>
            <w:top w:w="0" w:type="dxa"/>
            <w:left w:w="108" w:type="dxa"/>
            <w:bottom w:w="0" w:type="dxa"/>
            <w:right w:w="108" w:type="dxa"/>
          </w:tblCellMar>
        </w:tblPrEx>
        <w:trPr>
          <w:trHeight w:val="438"/>
          <w:jc w:val="center"/>
        </w:trPr>
        <w:tc>
          <w:tcPr>
            <w:tcW w:w="2958" w:type="dxa"/>
            <w:gridSpan w:val="3"/>
            <w:vAlign w:val="center"/>
          </w:tcPr>
          <w:p>
            <w:pPr>
              <w:spacing w:line="240" w:lineRule="atLeast"/>
              <w:jc w:val="center"/>
              <w:rPr>
                <w:rFonts w:ascii="宋体" w:hAnsi="宋体"/>
                <w:szCs w:val="21"/>
              </w:rPr>
            </w:pPr>
            <w:r>
              <w:rPr>
                <w:rFonts w:ascii="宋体" w:hAnsi="宋体" w:hint="eastAsia"/>
                <w:szCs w:val="21"/>
              </w:rPr>
              <w:t>中标金额</w:t>
            </w:r>
          </w:p>
        </w:tc>
        <w:tc>
          <w:tcPr>
            <w:tcW w:w="2165"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ascii="宋体" w:hAnsi="宋体" w:hint="eastAsia"/>
                <w:szCs w:val="21"/>
              </w:rPr>
              <w:t>合同履约时间</w:t>
            </w:r>
          </w:p>
        </w:tc>
        <w:tc>
          <w:tcPr>
            <w:tcW w:w="2497" w:type="dxa"/>
            <w:vAlign w:val="center"/>
          </w:tcPr>
          <w:p>
            <w:pPr>
              <w:spacing w:line="240" w:lineRule="atLeast"/>
              <w:rPr>
                <w:rFonts w:ascii="宋体" w:hAnsi="宋体"/>
                <w:szCs w:val="21"/>
              </w:rPr>
            </w:pPr>
            <w:r>
              <w:rPr>
                <w:rFonts w:ascii="宋体" w:hAnsi="宋体" w:hint="eastAsia"/>
                <w:szCs w:val="21"/>
              </w:rPr>
              <w:t>自       至</w:t>
            </w:r>
          </w:p>
        </w:tc>
      </w:tr>
      <w:tr>
        <w:tblPrEx>
          <w:tblW w:w="9600" w:type="dxa"/>
          <w:jc w:val="center"/>
          <w:tblLayout w:type="fixed"/>
          <w:tblCellMar>
            <w:top w:w="0" w:type="dxa"/>
            <w:left w:w="108" w:type="dxa"/>
            <w:bottom w:w="0" w:type="dxa"/>
            <w:right w:w="108" w:type="dxa"/>
          </w:tblCellMar>
        </w:tblPrEx>
        <w:trPr>
          <w:trHeight w:val="544"/>
          <w:jc w:val="center"/>
        </w:trPr>
        <w:tc>
          <w:tcPr>
            <w:tcW w:w="974" w:type="dxa"/>
            <w:vMerge w:val="restart"/>
            <w:vAlign w:val="center"/>
          </w:tcPr>
          <w:p>
            <w:pPr>
              <w:spacing w:line="240" w:lineRule="atLeast"/>
              <w:jc w:val="center"/>
              <w:rPr>
                <w:rFonts w:ascii="宋体" w:hAnsi="宋体"/>
                <w:b/>
                <w:szCs w:val="21"/>
              </w:rPr>
            </w:pPr>
            <w:r>
              <w:rPr>
                <w:rFonts w:ascii="宋体" w:hAnsi="宋体" w:hint="eastAsia"/>
                <w:b/>
                <w:szCs w:val="21"/>
              </w:rPr>
              <w:t>履约情况评价</w:t>
            </w:r>
          </w:p>
        </w:tc>
        <w:tc>
          <w:tcPr>
            <w:tcW w:w="1984" w:type="dxa"/>
            <w:gridSpan w:val="2"/>
            <w:tcBorders>
              <w:right w:val="single" w:sz="4" w:space="0" w:color="auto"/>
            </w:tcBorders>
            <w:vAlign w:val="center"/>
          </w:tcPr>
          <w:p>
            <w:pPr>
              <w:spacing w:line="240" w:lineRule="atLeast"/>
              <w:jc w:val="center"/>
              <w:rPr>
                <w:rFonts w:ascii="宋体" w:hAnsi="宋体"/>
                <w:szCs w:val="21"/>
              </w:rPr>
            </w:pPr>
            <w:r>
              <w:rPr>
                <w:rFonts w:ascii="宋体" w:hAnsi="宋体" w:hint="eastAsia"/>
                <w:szCs w:val="21"/>
              </w:rPr>
              <w:t>总体评价</w:t>
            </w:r>
          </w:p>
        </w:tc>
        <w:tc>
          <w:tcPr>
            <w:tcW w:w="6642" w:type="dxa"/>
            <w:gridSpan w:val="3"/>
            <w:tcBorders>
              <w:left w:val="single" w:sz="4" w:space="0" w:color="auto"/>
            </w:tcBorders>
            <w:vAlign w:val="center"/>
          </w:tcPr>
          <w:p>
            <w:pPr>
              <w:spacing w:line="240" w:lineRule="atLeast"/>
              <w:ind w:firstLine="120" w:firstLineChars="50"/>
              <w:jc w:val="center"/>
              <w:rPr>
                <w:rFonts w:ascii="宋体" w:hAnsi="宋体"/>
                <w:szCs w:val="21"/>
              </w:rPr>
            </w:pPr>
            <w:r>
              <w:rPr>
                <w:rFonts w:ascii="宋体" w:hAnsi="宋体" w:hint="eastAsia"/>
                <w:szCs w:val="21"/>
              </w:rPr>
              <w:t>□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val="restart"/>
            <w:tcBorders>
              <w:right w:val="single" w:sz="4" w:space="0" w:color="auto"/>
            </w:tcBorders>
            <w:vAlign w:val="center"/>
          </w:tcPr>
          <w:p>
            <w:pPr>
              <w:spacing w:line="240" w:lineRule="atLeast"/>
              <w:jc w:val="center"/>
              <w:rPr>
                <w:rFonts w:ascii="宋体" w:hAnsi="宋体"/>
                <w:szCs w:val="21"/>
              </w:rPr>
            </w:pPr>
            <w:r>
              <w:rPr>
                <w:rFonts w:ascii="宋体" w:hAnsi="宋体" w:hint="eastAsia"/>
                <w:szCs w:val="21"/>
              </w:rPr>
              <w:t>分项评价</w:t>
            </w: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质量方面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价格方面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服务方面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时间方面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环境保护</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其他</w:t>
            </w:r>
          </w:p>
        </w:tc>
        <w:tc>
          <w:tcPr>
            <w:tcW w:w="6642" w:type="dxa"/>
            <w:gridSpan w:val="3"/>
            <w:tcBorders>
              <w:left w:val="single" w:sz="4" w:space="0" w:color="auto"/>
            </w:tcBorders>
            <w:vAlign w:val="center"/>
          </w:tcPr>
          <w:p>
            <w:pPr>
              <w:spacing w:before="120" w:beforeLines="50" w:after="120" w:afterLines="5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pPr>
              <w:spacing w:before="120" w:beforeLines="50" w:after="120" w:afterLines="50" w:line="240" w:lineRule="atLeast"/>
              <w:rPr>
                <w:rFonts w:ascii="宋体" w:hAnsi="宋体"/>
                <w:szCs w:val="21"/>
              </w:rPr>
            </w:pPr>
            <w:r>
              <w:rPr>
                <w:rFonts w:ascii="宋体" w:hAnsi="宋体" w:hint="eastAsia"/>
                <w:szCs w:val="21"/>
              </w:rPr>
              <w:t>评价等级为：  □ 优       □ 良        □ 中         □ 差</w:t>
            </w:r>
          </w:p>
        </w:tc>
      </w:tr>
      <w:tr>
        <w:tblPrEx>
          <w:tblW w:w="9600" w:type="dxa"/>
          <w:jc w:val="center"/>
          <w:tblLayout w:type="fixed"/>
          <w:tblCellMar>
            <w:top w:w="0" w:type="dxa"/>
            <w:left w:w="108" w:type="dxa"/>
            <w:bottom w:w="0" w:type="dxa"/>
            <w:right w:w="108" w:type="dxa"/>
          </w:tblCellMar>
        </w:tblPrEx>
        <w:trPr>
          <w:trHeight w:val="2874"/>
          <w:jc w:val="center"/>
        </w:trPr>
        <w:tc>
          <w:tcPr>
            <w:tcW w:w="1883" w:type="dxa"/>
            <w:gridSpan w:val="2"/>
            <w:vAlign w:val="center"/>
          </w:tcPr>
          <w:p>
            <w:pPr>
              <w:spacing w:line="240" w:lineRule="atLeast"/>
              <w:jc w:val="center"/>
              <w:rPr>
                <w:rFonts w:ascii="宋体" w:hAnsi="宋体"/>
                <w:szCs w:val="21"/>
              </w:rPr>
            </w:pPr>
            <w:r>
              <w:rPr>
                <w:rFonts w:ascii="宋体" w:hAnsi="宋体" w:hint="eastAsia"/>
                <w:szCs w:val="21"/>
              </w:rPr>
              <w:t>具体情况说明</w:t>
            </w:r>
          </w:p>
        </w:tc>
        <w:tc>
          <w:tcPr>
            <w:tcW w:w="7717"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W w:w="9600" w:type="dxa"/>
          <w:jc w:val="center"/>
          <w:tblLayout w:type="fixed"/>
          <w:tblCellMar>
            <w:top w:w="0" w:type="dxa"/>
            <w:left w:w="108" w:type="dxa"/>
            <w:bottom w:w="0" w:type="dxa"/>
            <w:right w:w="108" w:type="dxa"/>
          </w:tblCellMar>
        </w:tblPrEx>
        <w:trPr>
          <w:trHeight w:val="2510"/>
          <w:jc w:val="center"/>
        </w:trPr>
        <w:tc>
          <w:tcPr>
            <w:tcW w:w="1883" w:type="dxa"/>
            <w:gridSpan w:val="2"/>
            <w:vAlign w:val="center"/>
          </w:tcPr>
          <w:p>
            <w:pPr>
              <w:spacing w:line="240" w:lineRule="atLeast"/>
              <w:jc w:val="center"/>
              <w:rPr>
                <w:rFonts w:ascii="宋体" w:hAnsi="宋体"/>
                <w:szCs w:val="21"/>
              </w:rPr>
            </w:pPr>
            <w:r>
              <w:rPr>
                <w:rFonts w:ascii="宋体" w:hAnsi="宋体" w:hint="eastAsia"/>
                <w:szCs w:val="21"/>
              </w:rPr>
              <w:t>采购人意见</w:t>
            </w:r>
          </w:p>
          <w:p>
            <w:pPr>
              <w:spacing w:line="240" w:lineRule="atLeast"/>
              <w:jc w:val="center"/>
              <w:rPr>
                <w:rFonts w:ascii="宋体" w:hAnsi="宋体"/>
                <w:szCs w:val="21"/>
              </w:rPr>
            </w:pPr>
            <w:r>
              <w:rPr>
                <w:rFonts w:ascii="宋体" w:hAnsi="宋体" w:hint="eastAsia"/>
                <w:szCs w:val="21"/>
              </w:rPr>
              <w:t>（公章）</w:t>
            </w:r>
          </w:p>
        </w:tc>
        <w:tc>
          <w:tcPr>
            <w:tcW w:w="7717"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ascii="宋体" w:hAnsi="宋体" w:hint="eastAsia"/>
                <w:szCs w:val="21"/>
              </w:rPr>
              <w:t xml:space="preserve">                                        </w:t>
            </w:r>
          </w:p>
          <w:p>
            <w:pPr>
              <w:spacing w:line="240" w:lineRule="atLeast"/>
              <w:ind w:firstLine="4320" w:firstLineChars="1800"/>
              <w:rPr>
                <w:rFonts w:ascii="宋体" w:hAnsi="宋体"/>
                <w:szCs w:val="21"/>
              </w:rPr>
            </w:pPr>
          </w:p>
          <w:p>
            <w:pPr>
              <w:spacing w:line="240" w:lineRule="atLeast"/>
              <w:ind w:firstLine="4320" w:firstLineChars="1800"/>
              <w:rPr>
                <w:rFonts w:ascii="宋体" w:hAnsi="宋体"/>
                <w:szCs w:val="21"/>
              </w:rPr>
            </w:pPr>
            <w:r>
              <w:rPr>
                <w:rFonts w:ascii="宋体" w:hAnsi="宋体" w:hint="eastAsia"/>
                <w:szCs w:val="21"/>
              </w:rPr>
              <w:t>日期：   年   月   日</w:t>
            </w:r>
          </w:p>
        </w:tc>
      </w:tr>
    </w:tbl>
    <w:p>
      <w:pPr>
        <w:spacing w:line="240" w:lineRule="atLeast"/>
        <w:rPr>
          <w:rFonts w:ascii="宋体" w:hAnsi="宋体"/>
          <w:szCs w:val="21"/>
        </w:rPr>
      </w:pPr>
      <w:r>
        <w:rPr>
          <w:rFonts w:ascii="宋体" w:hAnsi="宋体" w:hint="eastAsia"/>
          <w:szCs w:val="21"/>
        </w:rPr>
        <w:t>说明：</w:t>
      </w:r>
    </w:p>
    <w:p>
      <w:pPr>
        <w:spacing w:line="240" w:lineRule="atLeast"/>
        <w:rPr>
          <w:rFonts w:ascii="宋体" w:hAnsi="宋体"/>
          <w:szCs w:val="21"/>
        </w:rPr>
      </w:pPr>
      <w:r>
        <w:rPr>
          <w:rFonts w:ascii="宋体" w:hAnsi="宋体" w:hint="eastAsia"/>
          <w:szCs w:val="21"/>
        </w:rPr>
        <w:t>1、本表为采购人向深圳公共资源交易中心（深圳交易集团有限公司坪山分公司）反映政府采购项目履约情况时所用；</w:t>
      </w:r>
    </w:p>
    <w:p>
      <w:pPr>
        <w:spacing w:line="240" w:lineRule="atLeast"/>
      </w:pPr>
      <w:r>
        <w:rPr>
          <w:rFonts w:ascii="宋体" w:hAnsi="宋体" w:hint="eastAsia"/>
          <w:szCs w:val="21"/>
        </w:rPr>
        <w:t>2、履约情况评价分为优、良、中、差四个等级，请在对应的框前打“√”，然后在“具体情况说明”一栏详细说明有关情况。</w:t>
      </w:r>
    </w:p>
    <w:p>
      <w:pPr>
        <w:ind w:firstLine="480" w:firstLineChars="200"/>
        <w:rPr>
          <w:rFonts w:ascii="宋体" w:hAnsi="宋体"/>
          <w:szCs w:val="21"/>
        </w:rPr>
      </w:pPr>
    </w:p>
    <w:p>
      <w:pPr>
        <w:ind w:firstLine="480" w:firstLineChars="200"/>
        <w:rPr>
          <w:rFonts w:ascii="宋体" w:hAnsi="宋体"/>
          <w:szCs w:val="21"/>
        </w:rPr>
      </w:pPr>
    </w:p>
    <w:p>
      <w:pPr>
        <w:ind w:firstLine="480" w:firstLineChars="200"/>
        <w:rPr>
          <w:rFonts w:ascii="宋体" w:hAnsi="宋体"/>
          <w:szCs w:val="21"/>
        </w:rPr>
      </w:pPr>
    </w:p>
    <w:p>
      <w:pPr>
        <w:ind w:firstLine="480" w:firstLineChars="200"/>
        <w:rPr>
          <w:rFonts w:ascii="宋体" w:hAnsi="宋体"/>
          <w:szCs w:val="21"/>
        </w:rPr>
      </w:pPr>
    </w:p>
    <w:p>
      <w:pPr>
        <w:rPr>
          <w:rFonts w:ascii="宋体" w:hAnsi="宋体"/>
          <w:szCs w:val="21"/>
        </w:rPr>
      </w:pPr>
      <w:r>
        <w:rPr>
          <w:rFonts w:ascii="宋体" w:hAnsi="宋体"/>
          <w:szCs w:val="21"/>
        </w:rPr>
        <w:br w:type="page"/>
      </w:r>
    </w:p>
    <w:p>
      <w:pPr>
        <w:pStyle w:val="Heading1"/>
        <w:rPr>
          <w:szCs w:val="28"/>
        </w:rPr>
      </w:pPr>
      <w:r>
        <w:rPr>
          <w:rFonts w:hint="eastAsia"/>
          <w:szCs w:val="28"/>
        </w:rPr>
        <w:t>第二册  通用条款（公开招标）</w:t>
      </w:r>
    </w:p>
    <w:p>
      <w:pPr>
        <w:pStyle w:val="Heading2"/>
        <w:numPr>
          <w:ilvl w:val="0"/>
          <w:numId w:val="5"/>
        </w:numPr>
        <w:spacing w:before="120" w:beforeLines="50" w:after="120" w:afterLines="50"/>
        <w:ind w:left="562" w:hanging="562"/>
        <w:rPr>
          <w:sz w:val="28"/>
          <w:szCs w:val="28"/>
        </w:rPr>
      </w:pPr>
      <w:bookmarkStart w:id="65" w:name="_Hlk72399513"/>
      <w:r>
        <w:rPr>
          <w:rFonts w:hint="eastAsia"/>
          <w:sz w:val="28"/>
          <w:szCs w:val="28"/>
        </w:rPr>
        <w:t>总则</w:t>
      </w:r>
    </w:p>
    <w:p>
      <w:pPr>
        <w:rPr>
          <w:rFonts w:ascii="黑体" w:eastAsia="黑体" w:hAnsi="宋体"/>
        </w:rPr>
      </w:pPr>
      <w:bookmarkEnd w:id="65"/>
      <w:r>
        <w:rPr>
          <w:rFonts w:ascii="黑体" w:eastAsia="黑体" w:hAnsi="宋体" w:hint="eastAsia"/>
        </w:rPr>
        <w:t>1. 通用条款说明</w:t>
      </w:r>
    </w:p>
    <w:p>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66" w:name="_Hlk72399729"/>
      <w:r>
        <w:rPr>
          <w:rFonts w:ascii="宋体" w:hAnsi="宋体" w:hint="eastAsia"/>
          <w:szCs w:val="21"/>
        </w:rPr>
        <w:t>如有需要，政府集中采购机构可以对通用条款的内容进行补充。</w:t>
      </w:r>
      <w:bookmarkEnd w:id="66"/>
    </w:p>
    <w:p>
      <w:pPr>
        <w:ind w:firstLine="470" w:firstLineChars="196"/>
        <w:rPr>
          <w:rFonts w:ascii="宋体" w:hAnsi="宋体"/>
          <w:szCs w:val="21"/>
        </w:rPr>
      </w:pPr>
      <w:r>
        <w:rPr>
          <w:rFonts w:ascii="宋体" w:hAnsi="宋体" w:hint="eastAsia"/>
          <w:szCs w:val="21"/>
        </w:rPr>
        <w:t>1.2招标文件分为第一册“专用条款”和第二册“通用条款”。</w:t>
      </w:r>
    </w:p>
    <w:p>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70" w:firstLineChars="196"/>
        <w:rPr>
          <w:rFonts w:ascii="宋体" w:hAnsi="宋体"/>
          <w:szCs w:val="21"/>
        </w:rPr>
      </w:pPr>
      <w:r>
        <w:rPr>
          <w:rFonts w:ascii="宋体" w:hAnsi="宋体" w:hint="eastAsia"/>
          <w:szCs w:val="21"/>
        </w:rPr>
        <w:t>1.5“专用条款”和“通用条款”表述不一致或有冲突时，以“专用条款”为准。</w:t>
      </w:r>
    </w:p>
    <w:p>
      <w:pPr>
        <w:rPr>
          <w:rFonts w:ascii="黑体" w:eastAsia="黑体" w:hAnsi="宋体"/>
        </w:rPr>
      </w:pPr>
      <w:r>
        <w:rPr>
          <w:rFonts w:ascii="黑体" w:eastAsia="黑体" w:hAnsi="宋体" w:hint="eastAsia"/>
        </w:rPr>
        <w:t>2</w:t>
      </w:r>
      <w:r>
        <w:rPr>
          <w:rFonts w:ascii="黑体" w:eastAsia="黑体" w:hAnsi="宋体"/>
        </w:rPr>
        <w:t>．</w:t>
      </w:r>
      <w:r>
        <w:rPr>
          <w:rFonts w:ascii="黑体" w:eastAsia="黑体" w:hAnsi="宋体" w:hint="eastAsia"/>
        </w:rPr>
        <w:t>招标说明</w:t>
      </w:r>
    </w:p>
    <w:p>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rPr>
          <w:rFonts w:ascii="黑体" w:eastAsia="黑体" w:hAnsi="宋体"/>
        </w:rPr>
      </w:pPr>
      <w:r>
        <w:rPr>
          <w:rFonts w:ascii="黑体" w:eastAsia="黑体" w:hAnsi="宋体" w:hint="eastAsia"/>
        </w:rPr>
        <w:t>3．定义</w:t>
      </w:r>
    </w:p>
    <w:p>
      <w:pPr>
        <w:ind w:firstLine="480" w:firstLineChars="200"/>
        <w:rPr>
          <w:rFonts w:ascii="宋体" w:hAnsi="宋体"/>
          <w:szCs w:val="21"/>
        </w:rPr>
      </w:pPr>
      <w:r>
        <w:rPr>
          <w:rFonts w:ascii="宋体" w:hAnsi="宋体"/>
          <w:szCs w:val="21"/>
        </w:rPr>
        <w:t>招标文件中下列术语应解释为：</w:t>
      </w:r>
    </w:p>
    <w:p>
      <w:pPr>
        <w:ind w:firstLine="470"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pPr>
        <w:ind w:firstLine="470" w:firstLineChars="196"/>
        <w:rPr>
          <w:rFonts w:ascii="宋体" w:hAnsi="宋体"/>
          <w:szCs w:val="21"/>
        </w:rPr>
      </w:pPr>
      <w:r>
        <w:rPr>
          <w:rFonts w:ascii="宋体" w:hAnsi="宋体" w:hint="eastAsia"/>
          <w:szCs w:val="21"/>
        </w:rPr>
        <w:t>3.2“政府集中采购机构”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70"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pPr>
        <w:ind w:firstLine="470" w:firstLineChars="196"/>
        <w:rPr>
          <w:rFonts w:ascii="宋体" w:hAnsi="宋体"/>
          <w:szCs w:val="21"/>
        </w:rPr>
      </w:pPr>
      <w:r>
        <w:rPr>
          <w:rFonts w:ascii="宋体" w:hAnsi="宋体" w:hint="eastAsia"/>
          <w:szCs w:val="21"/>
        </w:rPr>
        <w:t>3.6“合同”指由本次招标所产生的合同或合约文件；</w:t>
      </w:r>
    </w:p>
    <w:p>
      <w:pPr>
        <w:ind w:firstLine="470" w:firstLineChars="196"/>
        <w:rPr>
          <w:rFonts w:ascii="宋体" w:hAnsi="宋体"/>
          <w:szCs w:val="21"/>
        </w:rPr>
      </w:pPr>
      <w:r>
        <w:rPr>
          <w:rFonts w:ascii="宋体" w:hAnsi="宋体" w:hint="eastAsia"/>
          <w:szCs w:val="21"/>
        </w:rPr>
        <w:t>3.7“电子投标文件”指利用深圳政府采购智慧平台投标文件制作专用软件编辑投标文件</w:t>
      </w:r>
      <w:bookmarkStart w:id="67" w:name="_Hlk72398581"/>
      <w:r>
        <w:rPr>
          <w:rFonts w:ascii="宋体" w:hAnsi="宋体" w:hint="eastAsia"/>
          <w:szCs w:val="21"/>
        </w:rPr>
        <w:t>；</w:t>
      </w:r>
      <w:bookmarkEnd w:id="67"/>
    </w:p>
    <w:p>
      <w:pPr>
        <w:ind w:firstLine="470" w:firstLineChars="196"/>
        <w:rPr>
          <w:rFonts w:ascii="宋体" w:hAnsi="宋体"/>
          <w:szCs w:val="21"/>
          <w:highlight w:val="yellow"/>
        </w:rPr>
      </w:pPr>
      <w:r>
        <w:rPr>
          <w:rFonts w:ascii="宋体" w:hAnsi="宋体" w:hint="eastAsia"/>
          <w:szCs w:val="21"/>
          <w:highlight w:val="yellow"/>
        </w:rPr>
        <w:t>3.8“网上投标”指通过</w:t>
      </w:r>
      <w:r>
        <w:rPr>
          <w:rFonts w:ascii="宋体" w:hAnsi="宋体" w:hint="eastAsia"/>
          <w:b/>
          <w:bCs/>
          <w:szCs w:val="21"/>
          <w:highlight w:val="yellow"/>
        </w:rPr>
        <w:t>深圳公共资源交易中心（深圳交易集团有限公司坪山分公司）</w:t>
      </w:r>
      <w:r>
        <w:rPr>
          <w:rFonts w:ascii="宋体" w:hAnsi="宋体" w:hint="eastAsia"/>
          <w:szCs w:val="21"/>
          <w:highlight w:val="yellow"/>
        </w:rPr>
        <w:t>网站上传电子投标文件；</w:t>
      </w:r>
    </w:p>
    <w:p>
      <w:pPr>
        <w:ind w:firstLine="470" w:firstLineChars="196"/>
        <w:rPr>
          <w:rFonts w:ascii="宋体" w:eastAsia="宋体" w:hAnsi="宋体"/>
          <w:szCs w:val="21"/>
          <w:highlight w:val="yellow"/>
        </w:rPr>
      </w:pPr>
      <w:r>
        <w:rPr>
          <w:rFonts w:ascii="宋体" w:hAnsi="宋体" w:hint="eastAsia"/>
          <w:szCs w:val="21"/>
          <w:highlight w:val="yellow"/>
        </w:rPr>
        <w:t>3.9投标人登录“深圳政府采购智慧平台用户网上办事子系统（http://zfcg.szggzy.com:8081/TPBidder/memberLogin）”，使用本单位制作电子投标文件同一个电子密钥，在“【我的项目】→【项目流程】→【开标及解密】”进行在线解密。</w:t>
      </w:r>
    </w:p>
    <w:p>
      <w:pPr>
        <w:ind w:firstLine="470" w:firstLineChars="196"/>
        <w:rPr>
          <w:rFonts w:ascii="宋体" w:hAnsi="宋体"/>
          <w:szCs w:val="21"/>
        </w:rPr>
      </w:pPr>
      <w:r>
        <w:rPr>
          <w:rFonts w:ascii="宋体" w:hAnsi="宋体" w:hint="eastAsia"/>
          <w:szCs w:val="21"/>
        </w:rPr>
        <w:t>4.0招标文件中的标题或题名仅起引导作用，而不应视为对招标文件内容的理解和解释。</w:t>
      </w:r>
    </w:p>
    <w:p>
      <w:pPr>
        <w:rPr>
          <w:rFonts w:ascii="黑体" w:eastAsia="黑体" w:hAnsi="宋体"/>
        </w:rPr>
      </w:pPr>
      <w:r>
        <w:rPr>
          <w:rFonts w:ascii="黑体" w:eastAsia="黑体" w:hAnsi="宋体" w:hint="eastAsia"/>
        </w:rPr>
        <w:t xml:space="preserve">4. </w:t>
      </w:r>
      <w:bookmarkStart w:id="68" w:name="_Hlk72398643"/>
      <w:r>
        <w:rPr>
          <w:rFonts w:ascii="黑体" w:eastAsia="黑体" w:hAnsi="宋体" w:hint="eastAsia"/>
        </w:rPr>
        <w:t>政府采购供应商责任</w:t>
      </w:r>
    </w:p>
    <w:p>
      <w:pPr>
        <w:ind w:firstLine="470" w:firstLineChars="196"/>
        <w:rPr>
          <w:rFonts w:ascii="宋体" w:hAnsi="宋体"/>
          <w:szCs w:val="21"/>
        </w:rPr>
      </w:pPr>
      <w:r>
        <w:rPr>
          <w:rFonts w:ascii="宋体" w:hAnsi="宋体" w:hint="eastAsia"/>
          <w:szCs w:val="21"/>
        </w:rPr>
        <w:t>4.1欢迎诚信、有实力和有社会责任心的供应商参与政府采购事业。</w:t>
      </w:r>
    </w:p>
    <w:p>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eastAsia="黑体" w:hAnsi="宋体"/>
        </w:rPr>
      </w:pPr>
      <w:r>
        <w:rPr>
          <w:rFonts w:ascii="黑体" w:eastAsia="黑体" w:hAnsi="宋体" w:hint="eastAsia"/>
        </w:rPr>
        <w:t>5．投标人参加政府采购的条件</w:t>
      </w:r>
    </w:p>
    <w:p>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ascii="宋体" w:hAnsi="宋体" w:hint="eastAsia"/>
          <w:szCs w:val="21"/>
        </w:rPr>
        <w:t>》详见</w:t>
      </w:r>
      <w:r>
        <w:t>www.szggzy.com</w:t>
      </w:r>
      <w:r>
        <w:rPr>
          <w:rFonts w:ascii="宋体" w:hAnsi="宋体" w:hint="eastAsia"/>
          <w:szCs w:val="21"/>
        </w:rPr>
        <w:t>网站“服务导航-政府采购-办事指南”。</w:t>
      </w:r>
    </w:p>
    <w:p>
      <w:pPr>
        <w:ind w:firstLine="470" w:firstLineChars="196"/>
        <w:rPr>
          <w:rFonts w:ascii="宋体" w:hAnsi="宋体"/>
          <w:szCs w:val="21"/>
        </w:rPr>
      </w:pPr>
      <w:r>
        <w:rPr>
          <w:rFonts w:ascii="宋体" w:hAnsi="宋体" w:hint="eastAsia"/>
          <w:szCs w:val="21"/>
        </w:rPr>
        <w:t>5.2投标人资格要求</w:t>
      </w:r>
    </w:p>
    <w:p>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70" w:firstLineChars="196"/>
        <w:rPr>
          <w:rFonts w:ascii="宋体" w:hAnsi="宋体"/>
          <w:szCs w:val="21"/>
        </w:rPr>
      </w:pPr>
      <w:r>
        <w:rPr>
          <w:rFonts w:ascii="宋体" w:hAnsi="宋体" w:hint="eastAsia"/>
          <w:szCs w:val="21"/>
        </w:rPr>
        <w:t>5.3联合体投标</w:t>
      </w:r>
    </w:p>
    <w:p>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70" w:firstLineChars="196"/>
        <w:rPr>
          <w:rFonts w:ascii="宋体" w:hAnsi="宋体"/>
        </w:rPr>
      </w:pPr>
      <w:r>
        <w:rPr>
          <w:rFonts w:ascii="宋体" w:hAnsi="宋体" w:hint="eastAsia"/>
        </w:rPr>
        <w:t>（1）投标联合体各方参加政府采购活动应当具备下列条件：</w:t>
      </w:r>
      <w:r>
        <w:rPr>
          <w:rFonts w:ascii="宋体" w:hAnsi="宋体"/>
        </w:rPr>
        <w:t xml:space="preserve"> </w:t>
      </w:r>
    </w:p>
    <w:p>
      <w:pPr>
        <w:ind w:left="480" w:firstLine="470" w:leftChars="200" w:firstLineChars="196"/>
        <w:rPr>
          <w:rFonts w:ascii="宋体" w:hAnsi="宋体"/>
        </w:rPr>
      </w:pPr>
      <w:r>
        <w:rPr>
          <w:rFonts w:ascii="宋体" w:hAnsi="宋体" w:hint="eastAsia"/>
        </w:rPr>
        <w:t>1、具有独立承担民事责任的能力；</w:t>
      </w:r>
      <w:r>
        <w:rPr>
          <w:rFonts w:ascii="宋体" w:hAnsi="宋体"/>
        </w:rPr>
        <w:t xml:space="preserve"> </w:t>
      </w:r>
    </w:p>
    <w:p>
      <w:pPr>
        <w:ind w:left="420" w:firstLine="470" w:firstLineChars="196"/>
        <w:rPr>
          <w:rFonts w:ascii="宋体" w:hAnsi="宋体"/>
        </w:rPr>
      </w:pPr>
      <w:r>
        <w:rPr>
          <w:rFonts w:ascii="宋体" w:hAnsi="宋体" w:hint="eastAsia"/>
        </w:rPr>
        <w:t>2、有良好的商业信誉和健全的财务会计制度；</w:t>
      </w:r>
      <w:r>
        <w:rPr>
          <w:rFonts w:ascii="宋体" w:hAnsi="宋体"/>
        </w:rPr>
        <w:t xml:space="preserve"> </w:t>
      </w:r>
    </w:p>
    <w:p>
      <w:pPr>
        <w:ind w:left="480" w:firstLine="470" w:leftChars="200" w:firstLineChars="196"/>
        <w:rPr>
          <w:rFonts w:ascii="宋体" w:hAnsi="宋体"/>
        </w:rPr>
      </w:pPr>
      <w:r>
        <w:rPr>
          <w:rFonts w:ascii="宋体" w:hAnsi="宋体" w:hint="eastAsia"/>
        </w:rPr>
        <w:t>3、具有履行合同所必需的设备和专业技术能力；</w:t>
      </w:r>
      <w:r>
        <w:rPr>
          <w:rFonts w:ascii="宋体" w:hAnsi="宋体"/>
        </w:rPr>
        <w:t xml:space="preserve"> </w:t>
      </w:r>
    </w:p>
    <w:p>
      <w:pPr>
        <w:ind w:left="480" w:firstLine="470" w:leftChars="200" w:firstLineChars="196"/>
        <w:rPr>
          <w:rFonts w:ascii="宋体" w:hAnsi="宋体"/>
        </w:rPr>
      </w:pPr>
      <w:r>
        <w:rPr>
          <w:rFonts w:ascii="宋体" w:hAnsi="宋体" w:hint="eastAsia"/>
        </w:rPr>
        <w:t>4、有依法缴纳税收和社会保障资金的良好记录；</w:t>
      </w:r>
      <w:r>
        <w:rPr>
          <w:rFonts w:ascii="宋体" w:hAnsi="宋体"/>
        </w:rPr>
        <w:t xml:space="preserve"> </w:t>
      </w:r>
    </w:p>
    <w:p>
      <w:pPr>
        <w:ind w:left="480" w:firstLine="470" w:leftChars="200" w:firstLineChars="196"/>
        <w:rPr>
          <w:rFonts w:ascii="宋体" w:hAnsi="宋体"/>
        </w:rPr>
      </w:pPr>
      <w:r>
        <w:rPr>
          <w:rFonts w:ascii="宋体" w:hAnsi="宋体" w:hint="eastAsia"/>
        </w:rPr>
        <w:t>5、参加政府采购活动前三年内，在经营活动中没有重大违法记录；</w:t>
      </w:r>
      <w:r>
        <w:rPr>
          <w:rFonts w:ascii="宋体" w:hAnsi="宋体"/>
        </w:rPr>
        <w:t xml:space="preserve"> </w:t>
      </w:r>
    </w:p>
    <w:p>
      <w:pPr>
        <w:ind w:left="480" w:firstLine="470" w:leftChars="200" w:firstLineChars="196"/>
        <w:rPr>
          <w:rFonts w:ascii="宋体" w:hAnsi="宋体"/>
        </w:rPr>
      </w:pPr>
      <w:r>
        <w:rPr>
          <w:rFonts w:ascii="宋体" w:hAnsi="宋体" w:hint="eastAsia"/>
        </w:rPr>
        <w:t>6、法律、行政法规规定的其他条件。</w:t>
      </w:r>
      <w:r>
        <w:rPr>
          <w:rFonts w:ascii="宋体" w:hAnsi="宋体"/>
        </w:rPr>
        <w:t xml:space="preserve"> </w:t>
      </w:r>
    </w:p>
    <w:p>
      <w:pPr>
        <w:ind w:firstLine="470" w:firstLineChars="196"/>
        <w:rPr>
          <w:rFonts w:ascii="宋体" w:hAnsi="宋体"/>
        </w:rPr>
      </w:pPr>
      <w:r>
        <w:rPr>
          <w:rFonts w:ascii="宋体" w:hAnsi="宋体" w:hint="eastAsia"/>
        </w:rPr>
        <w:t>（2）在投标截止前，投标联合体各方均应注册成政府集中采购机构供应商；</w:t>
      </w:r>
    </w:p>
    <w:p>
      <w:pPr>
        <w:ind w:firstLine="470"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70"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rPr>
      </w:pPr>
      <w:r>
        <w:rPr>
          <w:rFonts w:ascii="宋体" w:hAnsi="宋体" w:hint="eastAsia"/>
        </w:rPr>
        <w:t>（5）投标人的投标文件及中标后签署的合同协议对联合体各方均具法律约束力；</w:t>
      </w:r>
    </w:p>
    <w:p>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70"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szCs w:val="21"/>
        </w:rPr>
      </w:pPr>
      <w:r>
        <w:rPr>
          <w:rFonts w:ascii="宋体" w:hAnsi="宋体" w:hint="eastAsia"/>
        </w:rPr>
        <w:t>（9）本通用条款中“投标人”一词亦指联合体各方，专用条款另有规定或说明的除外。</w:t>
      </w:r>
    </w:p>
    <w:p>
      <w:pPr>
        <w:rPr>
          <w:rFonts w:ascii="黑体" w:eastAsia="黑体" w:hAnsi="宋体"/>
        </w:rPr>
      </w:pPr>
      <w:r>
        <w:rPr>
          <w:rFonts w:ascii="黑体" w:eastAsia="黑体" w:hAnsi="宋体" w:hint="eastAsia"/>
        </w:rPr>
        <w:t>6．政策导向</w:t>
      </w:r>
    </w:p>
    <w:p>
      <w:pPr>
        <w:ind w:firstLine="470" w:firstLineChars="196"/>
        <w:rPr>
          <w:rFonts w:ascii="宋体" w:hAnsi="宋体"/>
        </w:rPr>
      </w:pPr>
      <w:r>
        <w:rPr>
          <w:rFonts w:ascii="宋体" w:hAnsi="宋体" w:hint="eastAsia"/>
        </w:rPr>
        <w:t>6.1</w:t>
      </w:r>
      <w:r>
        <w:rPr>
          <w:rFonts w:ascii="宋体" w:hAnsi="宋体"/>
        </w:rPr>
        <w:t xml:space="preserve">  </w:t>
      </w:r>
      <w:r>
        <w:rPr>
          <w:rFonts w:ascii="宋体" w:hAnsi="宋体" w:hint="eastAsia"/>
        </w:rPr>
        <w:t>政府采购扶持贫困地区、中小企业、监狱企业和残疾人福利性单位发展，支持节能减排、环境保护。</w:t>
      </w:r>
    </w:p>
    <w:p>
      <w:pPr>
        <w:ind w:firstLine="405"/>
        <w:rPr>
          <w:shd w:val="clear" w:color="auto" w:fill="FFFFFF"/>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pPr>
        <w:rPr>
          <w:rFonts w:ascii="黑体" w:eastAsia="黑体" w:hAnsi="宋体"/>
        </w:rPr>
      </w:pPr>
      <w:r>
        <w:rPr>
          <w:rFonts w:ascii="黑体" w:eastAsia="黑体" w:hAnsi="宋体" w:hint="eastAsia"/>
        </w:rPr>
        <w:t>7. 本项目若涉及采购货物，则合格的货物及相应服务应满足以下要求：</w:t>
      </w:r>
    </w:p>
    <w:p>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69"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9"/>
    </w:p>
    <w:p>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rPr>
          <w:rFonts w:ascii="黑体" w:eastAsia="黑体" w:hAnsi="宋体"/>
        </w:rPr>
      </w:pPr>
      <w:r>
        <w:rPr>
          <w:rFonts w:ascii="黑体" w:eastAsia="黑体" w:hAnsi="宋体" w:hint="eastAsia"/>
        </w:rPr>
        <w:t>8．投标费用</w:t>
      </w:r>
    </w:p>
    <w:p>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rPr>
          <w:rFonts w:ascii="黑体" w:eastAsia="黑体" w:hAnsi="宋体"/>
        </w:rPr>
      </w:pPr>
      <w:r>
        <w:rPr>
          <w:rFonts w:ascii="黑体" w:eastAsia="黑体" w:hAnsi="宋体" w:hint="eastAsia"/>
        </w:rPr>
        <w:t>9．踏勘现场</w:t>
      </w:r>
    </w:p>
    <w:p>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rPr>
      </w:pPr>
      <w:r>
        <w:rPr>
          <w:rFonts w:ascii="宋体" w:hAnsi="宋体" w:hint="eastAsia"/>
        </w:rPr>
        <w:t>9.3采购人应当通过政府集中采购机构向投标人提供有关现场的书面资料和数据。</w:t>
      </w:r>
    </w:p>
    <w:p>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rPr>
          <w:rFonts w:ascii="宋体" w:hAnsi="宋体"/>
          <w:szCs w:val="21"/>
        </w:rPr>
      </w:pPr>
      <w:r>
        <w:rPr>
          <w:rFonts w:ascii="黑体" w:eastAsia="黑体" w:hAnsi="宋体" w:hint="eastAsia"/>
        </w:rPr>
        <w:t>1</w:t>
      </w:r>
      <w:r>
        <w:rPr>
          <w:rFonts w:ascii="黑体" w:eastAsia="黑体" w:hAnsi="宋体"/>
        </w:rPr>
        <w:t>0</w:t>
      </w:r>
      <w:r>
        <w:rPr>
          <w:rFonts w:ascii="黑体" w:eastAsia="黑体" w:hAnsi="宋体" w:hint="eastAsia"/>
        </w:rPr>
        <w:t>．标前会议</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ind w:firstLine="470" w:firstLineChars="196"/>
        <w:rPr>
          <w:rFonts w:ascii="宋体" w:hAnsi="宋体"/>
        </w:rPr>
      </w:pPr>
      <w:bookmarkEnd w:id="68"/>
    </w:p>
    <w:p>
      <w:pPr>
        <w:pStyle w:val="Heading2"/>
        <w:numPr>
          <w:ilvl w:val="0"/>
          <w:numId w:val="5"/>
        </w:numPr>
        <w:spacing w:before="120" w:beforeLines="50" w:after="120" w:afterLines="50"/>
        <w:ind w:left="562" w:hanging="562"/>
        <w:rPr>
          <w:sz w:val="28"/>
          <w:szCs w:val="28"/>
        </w:rPr>
      </w:pPr>
      <w:r>
        <w:rPr>
          <w:rFonts w:hint="eastAsia"/>
          <w:sz w:val="28"/>
          <w:szCs w:val="28"/>
        </w:rPr>
        <w:t>招标文件</w:t>
      </w:r>
    </w:p>
    <w:p>
      <w:pPr>
        <w:rPr>
          <w:rFonts w:ascii="黑体" w:eastAsia="黑体" w:hAnsi="宋体"/>
        </w:rPr>
      </w:pPr>
      <w:r>
        <w:rPr>
          <w:rFonts w:ascii="黑体" w:eastAsia="黑体" w:hAnsi="宋体" w:hint="eastAsia"/>
        </w:rPr>
        <w:t>1</w:t>
      </w:r>
      <w:r>
        <w:rPr>
          <w:rFonts w:ascii="黑体" w:eastAsia="黑体" w:hAnsi="宋体"/>
        </w:rPr>
        <w:t>1</w:t>
      </w:r>
      <w:r>
        <w:rPr>
          <w:rFonts w:ascii="黑体" w:eastAsia="黑体" w:hAnsi="宋体" w:hint="eastAsia"/>
        </w:rPr>
        <w:t>．</w:t>
      </w:r>
      <w:bookmarkStart w:id="70" w:name="_Hlk72399819"/>
      <w:r>
        <w:rPr>
          <w:rFonts w:ascii="黑体" w:eastAsia="黑体" w:hAnsi="宋体" w:hint="eastAsia"/>
        </w:rPr>
        <w:t>招标文件的编制与组成</w:t>
      </w:r>
    </w:p>
    <w:p>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70" w:firstLineChars="196"/>
        <w:rPr>
          <w:rFonts w:ascii="宋体" w:hAnsi="宋体"/>
          <w:szCs w:val="21"/>
        </w:rPr>
      </w:pPr>
      <w:r>
        <w:rPr>
          <w:rFonts w:ascii="宋体" w:hAnsi="宋体" w:hint="eastAsia"/>
          <w:szCs w:val="21"/>
        </w:rPr>
        <w:t>招标文件包括下列内容：</w:t>
      </w:r>
    </w:p>
    <w:p>
      <w:pPr>
        <w:ind w:left="480" w:firstLine="470" w:leftChars="200" w:firstLineChars="196"/>
        <w:rPr>
          <w:rFonts w:ascii="宋体" w:hAnsi="宋体"/>
          <w:b/>
          <w:szCs w:val="21"/>
        </w:rPr>
      </w:pPr>
      <w:r>
        <w:rPr>
          <w:rFonts w:ascii="宋体" w:hAnsi="宋体" w:hint="eastAsia"/>
          <w:b/>
          <w:szCs w:val="21"/>
        </w:rPr>
        <w:t>第一册  专用条款</w:t>
      </w:r>
    </w:p>
    <w:p>
      <w:pPr>
        <w:ind w:left="1234" w:leftChars="514"/>
        <w:rPr>
          <w:rFonts w:ascii="宋体" w:hAnsi="宋体"/>
          <w:b/>
          <w:szCs w:val="21"/>
        </w:rPr>
      </w:pPr>
      <w:r>
        <w:rPr>
          <w:rFonts w:ascii="宋体" w:hAnsi="宋体" w:hint="eastAsia"/>
          <w:b/>
          <w:szCs w:val="21"/>
        </w:rPr>
        <w:t>关键信息</w:t>
      </w:r>
    </w:p>
    <w:p>
      <w:pPr>
        <w:ind w:left="720" w:firstLine="470" w:leftChars="300" w:firstLineChars="196"/>
        <w:rPr>
          <w:rFonts w:ascii="宋体" w:hAnsi="宋体"/>
          <w:szCs w:val="21"/>
        </w:rPr>
      </w:pPr>
      <w:r>
        <w:rPr>
          <w:rFonts w:ascii="宋体" w:hAnsi="宋体" w:hint="eastAsia"/>
          <w:szCs w:val="21"/>
        </w:rPr>
        <w:t>第一章  招标公告</w:t>
      </w:r>
    </w:p>
    <w:p>
      <w:pPr>
        <w:ind w:left="720" w:firstLine="470" w:leftChars="300" w:firstLineChars="196"/>
        <w:rPr>
          <w:rFonts w:ascii="宋体" w:hAnsi="宋体"/>
          <w:szCs w:val="21"/>
        </w:rPr>
      </w:pPr>
      <w:r>
        <w:rPr>
          <w:rFonts w:ascii="宋体" w:hAnsi="宋体" w:hint="eastAsia"/>
          <w:szCs w:val="21"/>
        </w:rPr>
        <w:t>第二章  对通用条款的补充内容及其他关键信息</w:t>
      </w:r>
    </w:p>
    <w:p>
      <w:pPr>
        <w:ind w:left="720" w:firstLine="470" w:leftChars="300" w:firstLineChars="196"/>
        <w:rPr>
          <w:rFonts w:ascii="宋体" w:hAnsi="宋体"/>
          <w:szCs w:val="21"/>
        </w:rPr>
      </w:pPr>
      <w:r>
        <w:rPr>
          <w:rFonts w:ascii="宋体" w:hAnsi="宋体" w:hint="eastAsia"/>
          <w:szCs w:val="21"/>
        </w:rPr>
        <w:t>第三章  用户需求书</w:t>
      </w:r>
    </w:p>
    <w:p>
      <w:pPr>
        <w:ind w:left="720" w:firstLine="470" w:leftChars="300" w:firstLineChars="196"/>
        <w:rPr>
          <w:rFonts w:ascii="宋体" w:hAnsi="宋体"/>
          <w:szCs w:val="21"/>
        </w:rPr>
      </w:pPr>
      <w:r>
        <w:rPr>
          <w:rFonts w:hint="eastAsia"/>
        </w:rPr>
        <w:t xml:space="preserve">第四章 </w:t>
      </w:r>
      <w:r>
        <w:t xml:space="preserve"> </w:t>
      </w:r>
      <w:r>
        <w:rPr>
          <w:rFonts w:hint="eastAsia"/>
        </w:rPr>
        <w:t>投标文件格式及附件</w:t>
      </w:r>
    </w:p>
    <w:p>
      <w:pPr>
        <w:ind w:left="720" w:firstLine="470" w:leftChars="300" w:firstLineChars="196"/>
        <w:rPr>
          <w:rFonts w:ascii="宋体" w:hAnsi="宋体"/>
          <w:szCs w:val="21"/>
        </w:rPr>
      </w:pPr>
      <w:r>
        <w:rPr>
          <w:rFonts w:ascii="宋体" w:hAnsi="宋体" w:hint="eastAsia"/>
          <w:szCs w:val="21"/>
        </w:rPr>
        <w:t>第五章  合同条款及格式</w:t>
      </w:r>
    </w:p>
    <w:p>
      <w:pPr>
        <w:ind w:left="480" w:firstLine="470" w:leftChars="200" w:firstLineChars="196"/>
        <w:rPr>
          <w:rFonts w:ascii="宋体" w:hAnsi="宋体"/>
          <w:b/>
          <w:szCs w:val="21"/>
        </w:rPr>
      </w:pPr>
      <w:r>
        <w:rPr>
          <w:rFonts w:ascii="宋体" w:hAnsi="宋体" w:hint="eastAsia"/>
          <w:b/>
          <w:szCs w:val="21"/>
        </w:rPr>
        <w:t>第二册  通用条款</w:t>
      </w:r>
    </w:p>
    <w:p>
      <w:pPr>
        <w:ind w:left="720" w:firstLine="470" w:leftChars="300" w:firstLineChars="196"/>
        <w:rPr>
          <w:rFonts w:ascii="宋体" w:hAnsi="宋体"/>
          <w:szCs w:val="21"/>
        </w:rPr>
      </w:pPr>
      <w:r>
        <w:rPr>
          <w:rFonts w:ascii="宋体" w:hAnsi="宋体" w:hint="eastAsia"/>
          <w:szCs w:val="21"/>
        </w:rPr>
        <w:t>第一章  总则</w:t>
      </w:r>
    </w:p>
    <w:p>
      <w:pPr>
        <w:ind w:left="720" w:firstLine="470" w:leftChars="300" w:firstLineChars="196"/>
        <w:rPr>
          <w:rFonts w:ascii="宋体" w:hAnsi="宋体"/>
          <w:szCs w:val="21"/>
        </w:rPr>
      </w:pPr>
      <w:r>
        <w:rPr>
          <w:rFonts w:ascii="宋体" w:hAnsi="宋体" w:hint="eastAsia"/>
          <w:szCs w:val="21"/>
        </w:rPr>
        <w:t>第二章  招标文件</w:t>
      </w:r>
    </w:p>
    <w:p>
      <w:pPr>
        <w:ind w:left="720" w:firstLine="470" w:leftChars="300" w:firstLineChars="196"/>
        <w:rPr>
          <w:rFonts w:ascii="宋体" w:hAnsi="宋体"/>
          <w:szCs w:val="21"/>
        </w:rPr>
      </w:pPr>
      <w:r>
        <w:rPr>
          <w:rFonts w:ascii="宋体" w:hAnsi="宋体" w:hint="eastAsia"/>
          <w:szCs w:val="21"/>
        </w:rPr>
        <w:t>第三章  投标文件的编制</w:t>
      </w:r>
    </w:p>
    <w:p>
      <w:pPr>
        <w:ind w:left="720" w:firstLine="470" w:leftChars="300" w:firstLineChars="196"/>
        <w:rPr>
          <w:rFonts w:ascii="宋体" w:hAnsi="宋体"/>
          <w:szCs w:val="21"/>
        </w:rPr>
      </w:pPr>
      <w:r>
        <w:rPr>
          <w:rFonts w:ascii="宋体" w:hAnsi="宋体" w:hint="eastAsia"/>
          <w:szCs w:val="21"/>
        </w:rPr>
        <w:t>第四章  投标文件的递交</w:t>
      </w:r>
    </w:p>
    <w:p>
      <w:pPr>
        <w:ind w:left="720" w:firstLine="470" w:leftChars="300" w:firstLineChars="196"/>
        <w:rPr>
          <w:rFonts w:ascii="宋体" w:hAnsi="宋体"/>
          <w:szCs w:val="21"/>
        </w:rPr>
      </w:pPr>
      <w:r>
        <w:rPr>
          <w:rFonts w:ascii="宋体" w:hAnsi="宋体" w:hint="eastAsia"/>
          <w:szCs w:val="21"/>
        </w:rPr>
        <w:t>第五章  开标</w:t>
      </w:r>
    </w:p>
    <w:p>
      <w:pPr>
        <w:ind w:left="720" w:firstLine="470" w:leftChars="300" w:firstLineChars="196"/>
        <w:rPr>
          <w:rFonts w:ascii="宋体" w:hAnsi="宋体"/>
          <w:szCs w:val="21"/>
        </w:rPr>
      </w:pPr>
      <w:r>
        <w:rPr>
          <w:rFonts w:ascii="宋体" w:hAnsi="宋体" w:hint="eastAsia"/>
          <w:szCs w:val="21"/>
        </w:rPr>
        <w:t>第六章  评审要求</w:t>
      </w:r>
    </w:p>
    <w:p>
      <w:pPr>
        <w:ind w:left="720" w:firstLine="470" w:leftChars="300" w:firstLineChars="196"/>
        <w:rPr>
          <w:rFonts w:ascii="宋体" w:hAnsi="宋体"/>
          <w:szCs w:val="21"/>
        </w:rPr>
      </w:pPr>
      <w:r>
        <w:rPr>
          <w:rFonts w:ascii="宋体" w:hAnsi="宋体" w:hint="eastAsia"/>
          <w:szCs w:val="21"/>
        </w:rPr>
        <w:t>第七章  评审程序及评审方法</w:t>
      </w:r>
    </w:p>
    <w:p>
      <w:pPr>
        <w:ind w:left="720" w:firstLine="470" w:leftChars="300" w:firstLineChars="196"/>
        <w:rPr>
          <w:rFonts w:ascii="宋体" w:hAnsi="宋体"/>
          <w:szCs w:val="21"/>
        </w:rPr>
      </w:pPr>
      <w:r>
        <w:rPr>
          <w:rFonts w:ascii="宋体" w:hAnsi="宋体" w:hint="eastAsia"/>
          <w:szCs w:val="21"/>
        </w:rPr>
        <w:t>第八章  定标及公示</w:t>
      </w:r>
    </w:p>
    <w:p>
      <w:pPr>
        <w:ind w:left="720" w:firstLine="470" w:leftChars="300" w:firstLineChars="196"/>
        <w:rPr>
          <w:rFonts w:ascii="宋体" w:hAnsi="宋体"/>
          <w:szCs w:val="21"/>
        </w:rPr>
      </w:pPr>
      <w:r>
        <w:rPr>
          <w:rFonts w:ascii="宋体" w:hAnsi="宋体" w:hint="eastAsia"/>
          <w:szCs w:val="21"/>
        </w:rPr>
        <w:t>第九章  公开招标失败的后续处理</w:t>
      </w:r>
    </w:p>
    <w:p>
      <w:pPr>
        <w:ind w:left="720" w:firstLine="470" w:leftChars="300" w:firstLineChars="196"/>
        <w:rPr>
          <w:rFonts w:ascii="宋体" w:hAnsi="宋体"/>
          <w:szCs w:val="21"/>
        </w:rPr>
      </w:pPr>
      <w:r>
        <w:rPr>
          <w:rFonts w:ascii="宋体" w:hAnsi="宋体" w:hint="eastAsia"/>
          <w:szCs w:val="21"/>
        </w:rPr>
        <w:t>第十章  合同的授予与备案</w:t>
      </w:r>
    </w:p>
    <w:p>
      <w:pPr>
        <w:ind w:left="720" w:firstLine="470" w:leftChars="300" w:firstLineChars="196"/>
        <w:rPr>
          <w:rFonts w:ascii="宋体" w:hAnsi="宋体"/>
          <w:szCs w:val="21"/>
        </w:rPr>
      </w:pPr>
      <w:r>
        <w:rPr>
          <w:rFonts w:ascii="宋体" w:hAnsi="宋体" w:hint="eastAsia"/>
          <w:szCs w:val="21"/>
        </w:rPr>
        <w:t>第十一章  质疑处理</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rPr>
      </w:pPr>
      <w:r>
        <w:rPr>
          <w:rFonts w:ascii="黑体" w:eastAsia="黑体" w:hAnsi="宋体" w:hint="eastAsia"/>
        </w:rPr>
        <w:t>1</w:t>
      </w:r>
      <w:r>
        <w:rPr>
          <w:rFonts w:ascii="黑体" w:eastAsia="黑体" w:hAnsi="宋体"/>
        </w:rPr>
        <w:t>2</w:t>
      </w:r>
      <w:r>
        <w:rPr>
          <w:rFonts w:ascii="黑体" w:eastAsia="黑体" w:hAnsi="宋体" w:hint="eastAsia"/>
        </w:rPr>
        <w:t>．招标文件的澄清</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rPr>
      </w:pPr>
      <w:r>
        <w:rPr>
          <w:rFonts w:ascii="黑体" w:eastAsia="黑体" w:hAnsi="宋体"/>
        </w:rPr>
        <w:t>1</w:t>
      </w:r>
      <w:r>
        <w:rPr>
          <w:rFonts w:ascii="黑体" w:eastAsia="黑体" w:hAnsi="宋体" w:hint="eastAsia"/>
        </w:rPr>
        <w:t>3．招标文件的修改</w:t>
      </w:r>
    </w:p>
    <w:p>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0"/>
    </w:p>
    <w:p>
      <w:pPr>
        <w:rPr>
          <w:rFonts w:ascii="宋体" w:hAnsi="宋体"/>
          <w:szCs w:val="21"/>
        </w:rPr>
      </w:pPr>
    </w:p>
    <w:p>
      <w:pPr>
        <w:pStyle w:val="Heading2"/>
        <w:numPr>
          <w:ilvl w:val="0"/>
          <w:numId w:val="5"/>
        </w:numPr>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rPr>
      </w:pPr>
      <w:r>
        <w:rPr>
          <w:rFonts w:ascii="黑体" w:eastAsia="黑体" w:hAnsi="宋体" w:hint="eastAsia"/>
        </w:rPr>
        <w:t>14．</w:t>
      </w:r>
      <w:bookmarkStart w:id="71" w:name="_Hlk72400236"/>
      <w:r>
        <w:rPr>
          <w:rFonts w:ascii="黑体" w:eastAsia="黑体" w:hAnsi="宋体" w:hint="eastAsia"/>
        </w:rPr>
        <w:t>投标文件的语言及度量单位</w:t>
      </w:r>
    </w:p>
    <w:p>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rPr>
      </w:pPr>
      <w:bookmarkEnd w:id="71"/>
      <w:r>
        <w:rPr>
          <w:rFonts w:ascii="黑体" w:eastAsia="黑体" w:hAnsi="宋体" w:hint="eastAsia"/>
        </w:rPr>
        <w:t>15．</w:t>
      </w:r>
      <w:bookmarkStart w:id="72" w:name="_Hlk72401567"/>
      <w:r>
        <w:rPr>
          <w:rFonts w:ascii="黑体" w:eastAsia="黑体" w:hAnsi="宋体" w:hint="eastAsia"/>
        </w:rPr>
        <w:t>投标文件的组成</w:t>
      </w:r>
    </w:p>
    <w:p>
      <w:pPr>
        <w:ind w:firstLine="470"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rPr>
      </w:pPr>
      <w:r>
        <w:rPr>
          <w:rFonts w:ascii="黑体" w:eastAsia="黑体" w:hAnsi="宋体"/>
        </w:rPr>
        <w:t>16．投标文件格式</w:t>
      </w:r>
    </w:p>
    <w:p>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rPr>
      </w:pPr>
      <w:r>
        <w:rPr>
          <w:rFonts w:ascii="黑体" w:eastAsia="黑体" w:hAnsi="宋体" w:hint="eastAsia"/>
        </w:rPr>
        <w:t>17．投标货币</w:t>
      </w:r>
    </w:p>
    <w:p>
      <w:pPr>
        <w:ind w:firstLine="470" w:firstLineChars="196"/>
        <w:rPr>
          <w:rFonts w:ascii="宋体" w:hAnsi="宋体"/>
          <w:szCs w:val="21"/>
        </w:rPr>
      </w:pPr>
      <w:r>
        <w:rPr>
          <w:rFonts w:ascii="宋体" w:hAnsi="宋体" w:hint="eastAsia"/>
          <w:szCs w:val="21"/>
        </w:rPr>
        <w:t>本项目的投标报价应以人民币计。</w:t>
      </w:r>
    </w:p>
    <w:p>
      <w:pPr>
        <w:rPr>
          <w:rFonts w:ascii="黑体" w:eastAsia="黑体" w:hAnsi="宋体"/>
        </w:rPr>
      </w:pPr>
      <w:bookmarkEnd w:id="72"/>
      <w:r>
        <w:rPr>
          <w:rFonts w:ascii="黑体" w:eastAsia="黑体" w:hAnsi="宋体" w:hint="eastAsia"/>
        </w:rPr>
        <w:t>18．</w:t>
      </w:r>
      <w:bookmarkStart w:id="73" w:name="_Hlk72401735"/>
      <w:r>
        <w:rPr>
          <w:rFonts w:ascii="黑体" w:eastAsia="黑体" w:hAnsi="宋体" w:hint="eastAsia"/>
        </w:rPr>
        <w:t>证明投标文件投标技术方案的合格性和符合招标文件规定的文件要求</w:t>
      </w:r>
    </w:p>
    <w:p>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szCs w:val="21"/>
        </w:rPr>
      </w:pPr>
      <w:r>
        <w:rPr>
          <w:rFonts w:ascii="宋体" w:hAnsi="宋体" w:hint="eastAsia"/>
          <w:szCs w:val="21"/>
        </w:rPr>
        <w:t>18.2.1主要技术指标和性能的详细说明。</w:t>
      </w:r>
    </w:p>
    <w:p>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rPr>
      </w:pPr>
      <w:bookmarkEnd w:id="73"/>
      <w:r>
        <w:rPr>
          <w:rFonts w:ascii="黑体" w:eastAsia="黑体" w:hAnsi="宋体" w:hint="eastAsia"/>
        </w:rPr>
        <w:t>19．</w:t>
      </w:r>
      <w:bookmarkStart w:id="74" w:name="_Hlk72402034"/>
      <w:r>
        <w:rPr>
          <w:rFonts w:ascii="黑体" w:eastAsia="黑体" w:hAnsi="宋体" w:hint="eastAsia"/>
        </w:rPr>
        <w:t>投标文件其他证明文件的要求</w:t>
      </w:r>
    </w:p>
    <w:p>
      <w:pPr>
        <w:rPr>
          <w:rFonts w:ascii="宋体" w:hAnsi="宋体"/>
          <w:color w:val="FF0000"/>
          <w:szCs w:val="21"/>
        </w:rPr>
      </w:pPr>
      <w:r>
        <w:rPr>
          <w:rFonts w:ascii="黑体" w:eastAsia="黑体" w:hAnsi="宋体" w:hint="eastAsia"/>
        </w:rPr>
        <w:t xml:space="preserve">    </w:t>
      </w: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5" w:name="_Hlk71407299"/>
    </w:p>
    <w:p>
      <w:pPr>
        <w:ind w:firstLine="470" w:firstLineChars="196"/>
        <w:rPr>
          <w:rFonts w:ascii="宋体" w:hAnsi="宋体"/>
          <w:szCs w:val="21"/>
        </w:rPr>
      </w:pPr>
      <w:bookmarkEnd w:id="75"/>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rPr>
      </w:pPr>
      <w:r>
        <w:rPr>
          <w:rFonts w:ascii="黑体" w:eastAsia="黑体" w:hAnsi="宋体" w:hint="eastAsia"/>
        </w:rPr>
        <w:t>20．投标有效期</w:t>
      </w:r>
    </w:p>
    <w:p>
      <w:pPr>
        <w:ind w:firstLine="470" w:firstLineChars="196"/>
        <w:rPr>
          <w:rFonts w:ascii="宋体" w:hAnsi="宋体"/>
          <w:szCs w:val="21"/>
        </w:rPr>
      </w:pPr>
      <w:bookmarkEnd w:id="74"/>
      <w:bookmarkStart w:id="76"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rPr>
      </w:pPr>
      <w:bookmarkEnd w:id="76"/>
      <w:r>
        <w:rPr>
          <w:rFonts w:ascii="黑体" w:eastAsia="黑体" w:hAnsi="宋体" w:hint="eastAsia"/>
        </w:rPr>
        <w:t>21．</w:t>
      </w:r>
      <w:bookmarkStart w:id="77" w:name="_Hlk72402325"/>
      <w:r>
        <w:rPr>
          <w:rFonts w:ascii="黑体" w:eastAsia="黑体" w:hAnsi="宋体" w:hint="eastAsia"/>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rPr>
      </w:pPr>
      <w:r>
        <w:rPr>
          <w:rFonts w:ascii="黑体" w:eastAsia="黑体" w:hAnsi="宋体" w:hint="eastAsia"/>
        </w:rPr>
        <w:t>22．投标人的替代方案</w:t>
      </w:r>
    </w:p>
    <w:p>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rPr>
      </w:pPr>
      <w:bookmarkEnd w:id="77"/>
      <w:r>
        <w:rPr>
          <w:rFonts w:ascii="黑体" w:eastAsia="黑体" w:hAnsi="宋体" w:hint="eastAsia"/>
        </w:rPr>
        <w:t>23．</w:t>
      </w:r>
      <w:bookmarkStart w:id="78" w:name="_Hlk72402860"/>
      <w:r>
        <w:rPr>
          <w:rFonts w:ascii="黑体" w:eastAsia="黑体" w:hAnsi="宋体"/>
        </w:rPr>
        <w:t>投标文件的</w:t>
      </w:r>
      <w:r>
        <w:rPr>
          <w:rFonts w:ascii="黑体" w:eastAsia="黑体" w:hAnsi="宋体" w:hint="eastAsia"/>
        </w:rPr>
        <w:t>制作</w:t>
      </w:r>
      <w:r>
        <w:rPr>
          <w:rFonts w:ascii="黑体" w:eastAsia="黑体" w:hAnsi="宋体"/>
        </w:rPr>
        <w:t>要求</w:t>
      </w:r>
    </w:p>
    <w:p>
      <w:pPr>
        <w:ind w:firstLine="470" w:firstLineChars="196"/>
        <w:rPr>
          <w:rFonts w:ascii="宋体" w:hAnsi="宋体"/>
          <w:highlight w:val="yellow"/>
        </w:rPr>
      </w:pPr>
      <w:r>
        <w:rPr>
          <w:rFonts w:ascii="宋体" w:hAnsi="宋体" w:hint="eastAsia"/>
          <w:highlight w:val="yellow"/>
        </w:rPr>
        <w:t>23.1投标人应准备所投项目的电子投标文件一份。具体</w:t>
      </w:r>
      <w:r>
        <w:rPr>
          <w:rFonts w:ascii="宋体" w:hAnsi="宋体"/>
          <w:highlight w:val="yellow"/>
        </w:rPr>
        <w:t>操作以项目采购公告为准</w:t>
      </w:r>
      <w:r>
        <w:rPr>
          <w:rFonts w:ascii="宋体" w:hAnsi="宋体" w:hint="eastAsia"/>
          <w:highlight w:val="yellow"/>
        </w:rPr>
        <w:t>。</w:t>
      </w:r>
    </w:p>
    <w:p>
      <w:pPr>
        <w:ind w:firstLine="470" w:firstLineChars="196"/>
        <w:rPr>
          <w:rFonts w:ascii="宋体" w:hAnsi="宋体"/>
          <w:highlight w:val="yellow"/>
        </w:rPr>
      </w:pPr>
      <w:r>
        <w:rPr>
          <w:rFonts w:ascii="宋体" w:hAnsi="宋体" w:hint="eastAsia"/>
          <w:highlight w:val="yellow"/>
        </w:rPr>
        <w:t>23.2投标人在利用《投标书编制软件》编制投标书时须注意：</w:t>
      </w:r>
    </w:p>
    <w:p>
      <w:pPr>
        <w:ind w:firstLine="470" w:firstLineChars="196"/>
        <w:rPr>
          <w:rFonts w:ascii="宋体" w:hAnsi="宋体"/>
          <w:highlight w:val="yellow"/>
        </w:rPr>
      </w:pPr>
      <w:r>
        <w:rPr>
          <w:rFonts w:ascii="宋体" w:hAnsi="宋体" w:hint="eastAsia"/>
          <w:highlight w:val="yellow"/>
        </w:rPr>
        <w:t>23.2.1导入《投标书编制软件》的招标文件项目编号、包号应与以此制作的投标文件项目编号、包号一致。例如，不能将甲项目A包的招标书导入《投标书编制软件》，制作乙项目B包的投标书。</w:t>
      </w:r>
    </w:p>
    <w:p>
      <w:pPr>
        <w:ind w:firstLine="470" w:firstLineChars="196"/>
        <w:rPr>
          <w:rFonts w:ascii="宋体" w:hAnsi="宋体"/>
          <w:highlight w:val="yellow"/>
        </w:rPr>
      </w:pPr>
      <w:r>
        <w:rPr>
          <w:rFonts w:ascii="宋体" w:hAnsi="宋体" w:hint="eastAsia"/>
          <w:highlight w:val="yellow"/>
        </w:rPr>
        <w:t>23.2.2不能用非本公司的电子密钥加密本公司的投标文件，或者用其它公司的登录用户上传本公司的投标文件。</w:t>
      </w:r>
    </w:p>
    <w:p>
      <w:pPr>
        <w:ind w:firstLine="470" w:firstLineChars="196"/>
        <w:rPr>
          <w:rFonts w:ascii="宋体" w:hAnsi="宋体"/>
          <w:highlight w:val="yellow"/>
        </w:rPr>
      </w:pPr>
      <w:r>
        <w:rPr>
          <w:rFonts w:ascii="宋体" w:hAnsi="宋体" w:hint="eastAsia"/>
          <w:highlight w:val="yellow"/>
        </w:rPr>
        <w:t>23.2.3要求用《投标书编制软件》编制投标书的包，不能用其它方式编制投标书。编制投标文件时，电脑须连通互联网。</w:t>
      </w:r>
    </w:p>
    <w:p>
      <w:pPr>
        <w:ind w:firstLine="470" w:firstLineChars="196"/>
        <w:rPr>
          <w:rFonts w:ascii="宋体" w:hAnsi="宋体"/>
          <w:highlight w:val="yellow"/>
        </w:rPr>
      </w:pPr>
      <w:r>
        <w:rPr>
          <w:rFonts w:ascii="宋体" w:hAnsi="宋体" w:hint="eastAsia"/>
          <w:highlight w:val="yellow"/>
        </w:rPr>
        <w:t>23.2.4投标文件不能带病毒。政府集中采购机构将用瑞星杀毒软件和赛门铁克杀毒软件对投标文件进行病毒检测，如果这两种软件均报告发现病毒，则政府集中采购机构认为该投标文件带病毒。</w:t>
      </w:r>
    </w:p>
    <w:p>
      <w:pPr>
        <w:ind w:firstLine="470" w:firstLineChars="196"/>
        <w:rPr>
          <w:rFonts w:ascii="宋体" w:hAnsi="宋体"/>
          <w:highlight w:val="yellow"/>
        </w:rPr>
      </w:pPr>
      <w:r>
        <w:rPr>
          <w:rFonts w:ascii="宋体" w:hAnsi="宋体" w:hint="eastAsia"/>
          <w:highlight w:val="yellow"/>
        </w:rPr>
        <w:t>23.2.5完整填写“投标关键信息”。</w:t>
      </w:r>
    </w:p>
    <w:p>
      <w:pPr>
        <w:ind w:firstLine="470" w:firstLineChars="196"/>
        <w:rPr>
          <w:rFonts w:ascii="宋体" w:hAnsi="宋体"/>
          <w:b/>
          <w:highlight w:val="yellow"/>
        </w:rPr>
      </w:pPr>
      <w:r>
        <w:rPr>
          <w:rFonts w:ascii="宋体" w:hAnsi="宋体" w:hint="eastAsia"/>
          <w:b/>
          <w:highlight w:val="yellow"/>
        </w:rPr>
        <w:t>如果在投标文件的其它地方有与“投标关键信息”内容相冲突的，以“投标关键信息”为准。</w:t>
      </w:r>
    </w:p>
    <w:p>
      <w:pPr>
        <w:ind w:firstLine="470" w:firstLineChars="196"/>
        <w:rPr>
          <w:rFonts w:ascii="宋体" w:hAnsi="宋体"/>
          <w:highlight w:val="yellow"/>
        </w:rPr>
      </w:pPr>
      <w:r>
        <w:rPr>
          <w:rFonts w:ascii="宋体" w:hAnsi="宋体" w:hint="eastAsia"/>
          <w:highlight w:val="yellow"/>
        </w:rPr>
        <w:t>注：若本项目的“开标一览表”栏目格式填写有其他要求的，将在招标文件第一册专用条款第二章“对通用条款的补充内容”予以说明。</w:t>
      </w:r>
    </w:p>
    <w:p>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70" w:firstLineChars="196"/>
        <w:rPr>
          <w:rFonts w:ascii="宋体" w:hAnsi="宋体"/>
        </w:rPr>
      </w:pPr>
      <w:r>
        <w:rPr>
          <w:rFonts w:ascii="宋体" w:hAnsi="宋体" w:hint="eastAsia"/>
        </w:rPr>
        <w:t>23.2.7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70" w:firstLineChars="196"/>
        <w:rPr>
          <w:rFonts w:ascii="宋体" w:hAnsi="宋体"/>
        </w:rPr>
      </w:pPr>
      <w:r>
        <w:rPr>
          <w:rFonts w:ascii="宋体" w:hAnsi="宋体" w:hint="eastAsia"/>
        </w:rPr>
        <w:t>23.3电报、电话、传真形式的投标概不接受。</w:t>
      </w:r>
    </w:p>
    <w:p>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78"/>
    </w:p>
    <w:p>
      <w:pPr>
        <w:ind w:firstLine="470" w:firstLineChars="196"/>
        <w:rPr>
          <w:rFonts w:ascii="宋体" w:hAnsi="宋体"/>
          <w:szCs w:val="21"/>
        </w:rPr>
      </w:pPr>
    </w:p>
    <w:p>
      <w:pPr>
        <w:pStyle w:val="Heading2"/>
        <w:numPr>
          <w:ilvl w:val="0"/>
          <w:numId w:val="5"/>
        </w:numPr>
        <w:spacing w:before="120" w:beforeLines="50" w:after="120" w:afterLines="50"/>
        <w:ind w:left="562" w:hanging="562"/>
        <w:rPr>
          <w:sz w:val="28"/>
          <w:szCs w:val="28"/>
        </w:rPr>
      </w:pPr>
      <w:r>
        <w:rPr>
          <w:rFonts w:hint="eastAsia"/>
          <w:sz w:val="28"/>
          <w:szCs w:val="28"/>
        </w:rPr>
        <w:t>投标文件的递交</w:t>
      </w:r>
    </w:p>
    <w:p>
      <w:pPr>
        <w:rPr>
          <w:rFonts w:ascii="黑体" w:eastAsia="黑体" w:hAnsi="宋体"/>
        </w:rPr>
      </w:pPr>
      <w:bookmarkStart w:id="79" w:name="_Hlk72405459"/>
      <w:r>
        <w:rPr>
          <w:rFonts w:ascii="黑体" w:eastAsia="黑体" w:hAnsi="宋体" w:hint="eastAsia"/>
        </w:rPr>
        <w:t>24．投标文件的保密</w:t>
      </w:r>
    </w:p>
    <w:p>
      <w:pPr>
        <w:ind w:firstLine="470" w:firstLineChars="196"/>
        <w:rPr>
          <w:highlight w:val="yellow"/>
        </w:rPr>
      </w:pPr>
      <w:r>
        <w:rPr>
          <w:rFonts w:ascii="宋体" w:hAnsi="宋体" w:hint="eastAsia"/>
          <w:highlight w:val="yellow"/>
        </w:rPr>
        <w:t>24.1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ascii="宋体" w:hAnsi="宋体" w:hint="eastAsia"/>
          <w:b/>
          <w:highlight w:val="yellow"/>
        </w:rPr>
        <w:t>如果误选了非本项目的规则文件导致不能在开标时解密投标文件，可能导致投标无效，一切后果由供应商自行承担。</w:t>
      </w:r>
    </w:p>
    <w:p/>
    <w:p>
      <w:pPr>
        <w:rPr>
          <w:rFonts w:ascii="宋体" w:hAnsi="宋体"/>
          <w:b/>
        </w:rPr>
      </w:pPr>
      <w:r>
        <w:rPr>
          <w:rFonts w:ascii="宋体" w:hAnsi="宋体" w:hint="eastAsia"/>
        </w:rPr>
        <w:t xml:space="preserve">   </w:t>
      </w:r>
      <w:r>
        <w:rPr>
          <w:rFonts w:ascii="宋体" w:hAnsi="宋体" w:hint="eastAsia"/>
          <w:b/>
        </w:rPr>
        <w:t xml:space="preserve"> 24.2若采购项目出现延期情况：</w:t>
      </w:r>
    </w:p>
    <w:p>
      <w:pPr>
        <w:ind w:firstLine="480" w:firstLineChars="200"/>
        <w:rPr>
          <w:rFonts w:ascii="黑体" w:eastAsia="黑体" w:hAnsi="宋体"/>
          <w:b/>
        </w:rPr>
      </w:pPr>
      <w:r>
        <w:rPr>
          <w:rFonts w:ascii="宋体" w:hAnsi="宋体" w:hint="eastAsia"/>
          <w:b/>
        </w:rPr>
        <w:t>如果供下载的招标文件有更新，投标人必须重新下载招标文件、重新制作投标文件、重新加密投标文件、重新上传投标文件；如果下载的招标文件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rPr>
      </w:pPr>
      <w:r>
        <w:rPr>
          <w:rFonts w:ascii="黑体" w:eastAsia="黑体" w:hAnsi="宋体" w:hint="eastAsia"/>
        </w:rPr>
        <w:t>25．上传投标文件及投标截止日期</w:t>
      </w:r>
    </w:p>
    <w:p>
      <w:pPr>
        <w:ind w:firstLine="470" w:firstLineChars="196"/>
        <w:rPr>
          <w:rFonts w:ascii="宋体" w:hAnsi="宋体"/>
          <w:highlight w:val="yellow"/>
        </w:rPr>
      </w:pPr>
      <w:r>
        <w:rPr>
          <w:rFonts w:ascii="宋体" w:hAnsi="宋体" w:hint="eastAsia"/>
          <w:highlight w:val="yellow"/>
        </w:rPr>
        <w:t>25</w:t>
      </w:r>
      <w:r>
        <w:rPr>
          <w:rFonts w:ascii="宋体" w:hAnsi="宋体"/>
          <w:highlight w:val="yellow"/>
        </w:rPr>
        <w:t>.</w:t>
      </w:r>
      <w:r>
        <w:rPr>
          <w:rFonts w:ascii="宋体" w:hAnsi="宋体" w:hint="eastAsia"/>
          <w:highlight w:val="yellow"/>
        </w:rPr>
        <w:t>1实行网上投标，具体</w:t>
      </w:r>
      <w:r>
        <w:rPr>
          <w:rFonts w:ascii="宋体" w:hAnsi="宋体"/>
          <w:highlight w:val="yellow"/>
        </w:rPr>
        <w:t>操作以项目采购公告为准</w:t>
      </w:r>
      <w:r>
        <w:rPr>
          <w:rFonts w:ascii="宋体" w:hAnsi="宋体" w:hint="eastAsia"/>
          <w:highlight w:val="yellow"/>
        </w:rPr>
        <w:t>。</w:t>
      </w:r>
    </w:p>
    <w:p>
      <w:pPr>
        <w:ind w:firstLine="470" w:firstLineChars="196"/>
        <w:rPr>
          <w:rFonts w:ascii="宋体" w:hAnsi="宋体"/>
          <w:highlight w:val="yellow"/>
        </w:rPr>
      </w:pPr>
      <w:r>
        <w:rPr>
          <w:rFonts w:ascii="宋体" w:hAnsi="宋体" w:hint="eastAsia"/>
          <w:highlight w:val="yellow"/>
        </w:rPr>
        <w:t>25.2深圳公共资源交易中心（</w:t>
      </w:r>
      <w:r>
        <w:rPr>
          <w:rFonts w:ascii="宋体" w:hAnsi="宋体" w:cs="宋体" w:hint="eastAsia"/>
          <w:kern w:val="2"/>
          <w:sz w:val="21"/>
          <w:highlight w:val="yellow"/>
        </w:rPr>
        <w:t>深圳交易集团有限公司坪山分公司</w:t>
      </w:r>
      <w:r>
        <w:rPr>
          <w:rFonts w:ascii="宋体" w:hAnsi="宋体" w:hint="eastAsia"/>
          <w:highlight w:val="yellow"/>
        </w:rPr>
        <w:t>）可以按本通用条款第13条规定，通过修改招标文件自行决定酌情延长投标截止期。在此情况下，深圳公共资源交易中心（深圳交易集团有限公司坪山分公司）、采购单位和投标人受投标截止期制约的所有权利和义务均应延长至新的截止期。在项目延期后，出于投标文件的保密考虑，建议投标人重新加密投标文件，重新上传。</w:t>
      </w:r>
    </w:p>
    <w:p>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rPr>
          <w:rFonts w:ascii="黑体" w:eastAsia="黑体" w:hAnsi="宋体"/>
        </w:rPr>
      </w:pPr>
      <w:bookmarkEnd w:id="79"/>
      <w:r>
        <w:rPr>
          <w:rFonts w:ascii="黑体" w:eastAsia="黑体" w:hAnsi="宋体" w:hint="eastAsia"/>
        </w:rPr>
        <w:t>26. 样品、现场演示、方案讲解</w:t>
      </w:r>
    </w:p>
    <w:p>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pPr>
        <w:rPr>
          <w:rFonts w:ascii="黑体" w:eastAsia="黑体" w:hAnsi="宋体"/>
        </w:rPr>
      </w:pPr>
      <w:bookmarkStart w:id="80" w:name="_Hlk72428346"/>
      <w:r>
        <w:rPr>
          <w:rFonts w:ascii="黑体" w:eastAsia="黑体" w:hAnsi="宋体"/>
        </w:rPr>
        <w:t>2</w:t>
      </w:r>
      <w:r>
        <w:rPr>
          <w:rFonts w:ascii="黑体" w:eastAsia="黑体" w:hAnsi="宋体" w:hint="eastAsia"/>
        </w:rPr>
        <w:t>7．</w:t>
      </w:r>
      <w:r>
        <w:rPr>
          <w:rFonts w:ascii="黑体" w:eastAsia="黑体" w:hAnsi="宋体"/>
        </w:rPr>
        <w:t>投标文件的修改和撤销</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70"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5"/>
        </w:numPr>
        <w:spacing w:before="120" w:beforeLines="50" w:after="120" w:afterLines="50"/>
        <w:ind w:left="562" w:hanging="562"/>
        <w:rPr>
          <w:sz w:val="28"/>
          <w:szCs w:val="28"/>
        </w:rPr>
      </w:pPr>
      <w:bookmarkEnd w:id="80"/>
      <w:r>
        <w:rPr>
          <w:rFonts w:hint="eastAsia"/>
          <w:sz w:val="28"/>
          <w:szCs w:val="28"/>
        </w:rPr>
        <w:t>开标</w:t>
      </w:r>
    </w:p>
    <w:p>
      <w:pPr>
        <w:rPr>
          <w:rFonts w:ascii="黑体" w:eastAsia="黑体" w:hAnsi="宋体"/>
        </w:rPr>
      </w:pPr>
      <w:r>
        <w:rPr>
          <w:rFonts w:ascii="黑体" w:eastAsia="黑体" w:hAnsi="宋体" w:hint="eastAsia"/>
        </w:rPr>
        <w:t>28．开标</w:t>
      </w:r>
    </w:p>
    <w:p>
      <w:pPr>
        <w:pStyle w:val="20"/>
        <w:rPr>
          <w:rFonts w:ascii="宋体" w:hAnsi="宋体"/>
          <w:szCs w:val="21"/>
          <w:highlight w:val="yellow"/>
        </w:rPr>
      </w:pPr>
      <w:r>
        <w:rPr>
          <w:rFonts w:ascii="宋体" w:hAnsi="宋体"/>
          <w:szCs w:val="21"/>
          <w:highlight w:val="yellow"/>
        </w:rPr>
        <w:t>2</w:t>
      </w:r>
      <w:r>
        <w:rPr>
          <w:rFonts w:ascii="宋体" w:hAnsi="宋体" w:hint="eastAsia"/>
          <w:szCs w:val="21"/>
          <w:highlight w:val="yellow"/>
        </w:rPr>
        <w:t>8</w:t>
      </w:r>
      <w:r>
        <w:rPr>
          <w:rFonts w:ascii="宋体" w:hAnsi="宋体"/>
          <w:szCs w:val="21"/>
          <w:highlight w:val="yellow"/>
        </w:rPr>
        <w:t>.</w:t>
      </w:r>
      <w:r>
        <w:rPr>
          <w:rFonts w:ascii="宋体" w:hAnsi="宋体" w:hint="eastAsia"/>
          <w:szCs w:val="21"/>
          <w:highlight w:val="yellow"/>
        </w:rPr>
        <w:t>1</w:t>
      </w:r>
      <w:r>
        <w:rPr>
          <w:rFonts w:ascii="宋体" w:hAnsi="宋体"/>
          <w:highlight w:val="yellow"/>
        </w:rPr>
        <w:t>投标截止时间以后不得修改投标文件</w:t>
      </w:r>
      <w:r>
        <w:rPr>
          <w:rFonts w:ascii="宋体" w:hAnsi="宋体" w:hint="eastAsia"/>
          <w:szCs w:val="21"/>
          <w:highlight w:val="yellow"/>
        </w:rPr>
        <w:t>，投标人在招标公告规定时间内对投标文件进行</w:t>
      </w:r>
      <w:r>
        <w:rPr>
          <w:rFonts w:ascii="宋体" w:eastAsia="宋体" w:hAnsi="宋体" w:hint="eastAsia"/>
          <w:szCs w:val="24"/>
          <w:highlight w:val="yellow"/>
        </w:rPr>
        <w:t>点击菜单“开标及解密”，进入页面点击后方“进入远程解密”页面，</w:t>
      </w:r>
      <w:r>
        <w:rPr>
          <w:rFonts w:hint="eastAsia"/>
          <w:highlight w:val="yellow"/>
        </w:rPr>
        <w:t>点击“解密投标文件”</w:t>
      </w:r>
      <w:r>
        <w:rPr>
          <w:rFonts w:ascii="宋体" w:hAnsi="宋体" w:hint="eastAsia"/>
          <w:szCs w:val="21"/>
          <w:highlight w:val="yellow"/>
        </w:rPr>
        <w:t>；开标结束后，</w:t>
      </w:r>
      <w:r>
        <w:rPr>
          <w:rFonts w:ascii="宋体" w:hAnsi="宋体"/>
          <w:szCs w:val="21"/>
          <w:highlight w:val="yellow"/>
        </w:rPr>
        <w:t>政府集中采购机构</w:t>
      </w:r>
      <w:r>
        <w:rPr>
          <w:rFonts w:ascii="宋体" w:hAnsi="宋体" w:hint="eastAsia"/>
          <w:szCs w:val="21"/>
          <w:highlight w:val="yellow"/>
        </w:rPr>
        <w:t>将在网上公布开标结果。</w:t>
      </w:r>
    </w:p>
    <w:p>
      <w:pPr>
        <w:ind w:firstLine="360" w:firstLineChars="150"/>
        <w:rPr>
          <w:rFonts w:ascii="宋体" w:hAnsi="宋体"/>
          <w:szCs w:val="21"/>
          <w:highlight w:val="yellow"/>
        </w:rPr>
      </w:pPr>
      <w:r>
        <w:rPr>
          <w:rFonts w:ascii="宋体" w:hAnsi="宋体" w:hint="eastAsia"/>
          <w:szCs w:val="21"/>
          <w:highlight w:val="yellow"/>
        </w:rPr>
        <w:t>28.2 网上投标的，当开标后，投标人即可登录“</w:t>
      </w:r>
      <w:r>
        <w:rPr>
          <w:rFonts w:ascii="宋体" w:hAnsi="宋体" w:hint="eastAsia"/>
          <w:b/>
          <w:bCs/>
          <w:szCs w:val="21"/>
          <w:highlight w:val="yellow"/>
        </w:rPr>
        <w:t>深圳公共资源交易中心（深圳交易集团有限公司坪山分公司）网站</w:t>
      </w:r>
      <w:r>
        <w:rPr>
          <w:rFonts w:ascii="宋体" w:hAnsi="宋体" w:hint="eastAsia"/>
          <w:szCs w:val="21"/>
          <w:highlight w:val="yellow"/>
        </w:rPr>
        <w:t>”，用“应标管理</w:t>
      </w:r>
      <w:r>
        <w:rPr>
          <w:rFonts w:ascii="Wingdings" w:hAnsi="Wingdings"/>
          <w:szCs w:val="21"/>
          <w:highlight w:val="yellow"/>
        </w:rPr>
        <w:sym w:font="Wingdings" w:char="F0E0"/>
      </w:r>
      <w:r>
        <w:rPr>
          <w:rFonts w:ascii="宋体" w:hAnsi="宋体" w:hint="eastAsia"/>
          <w:szCs w:val="21"/>
          <w:highlight w:val="yellow"/>
        </w:rPr>
        <w:t>浏览开标一览表</w:t>
      </w:r>
      <w:r>
        <w:rPr>
          <w:rFonts w:ascii="宋体" w:hAnsi="宋体"/>
          <w:szCs w:val="21"/>
          <w:highlight w:val="yellow"/>
        </w:rPr>
        <w:t>”</w:t>
      </w:r>
      <w:r>
        <w:rPr>
          <w:rFonts w:ascii="宋体" w:hAnsi="宋体" w:hint="eastAsia"/>
          <w:szCs w:val="21"/>
          <w:highlight w:val="yellow"/>
        </w:rPr>
        <w:t>功能查看开标一览表。</w:t>
      </w:r>
    </w:p>
    <w:p>
      <w:pPr>
        <w:ind w:firstLine="360" w:firstLineChars="150"/>
        <w:rPr>
          <w:rFonts w:ascii="宋体" w:hAnsi="宋体"/>
          <w:szCs w:val="21"/>
        </w:rPr>
      </w:pPr>
    </w:p>
    <w:p>
      <w:pPr>
        <w:pStyle w:val="Heading2"/>
        <w:numPr>
          <w:ilvl w:val="0"/>
          <w:numId w:val="5"/>
        </w:numPr>
        <w:spacing w:before="120" w:beforeLines="50" w:after="120" w:afterLines="50"/>
        <w:ind w:left="562" w:hanging="562"/>
        <w:rPr>
          <w:sz w:val="28"/>
          <w:szCs w:val="28"/>
        </w:rPr>
      </w:pPr>
      <w:r>
        <w:rPr>
          <w:rFonts w:hint="eastAsia"/>
          <w:sz w:val="28"/>
          <w:szCs w:val="28"/>
        </w:rPr>
        <w:t>评审要求</w:t>
      </w:r>
    </w:p>
    <w:p>
      <w:pPr>
        <w:rPr>
          <w:rFonts w:ascii="黑体" w:eastAsia="黑体" w:hAnsi="宋体"/>
        </w:rPr>
      </w:pPr>
      <w:r>
        <w:rPr>
          <w:rFonts w:ascii="黑体" w:eastAsia="黑体" w:hAnsi="宋体" w:hint="eastAsia"/>
        </w:rPr>
        <w:t>29．评审委员会组成</w:t>
      </w:r>
    </w:p>
    <w:p>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70" w:firstLineChars="196"/>
        <w:rPr>
          <w:rFonts w:ascii="宋体" w:hAnsi="宋体"/>
        </w:rPr>
      </w:pPr>
      <w:bookmarkStart w:id="81"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81"/>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pPr>
        <w:ind w:firstLine="470" w:firstLineChars="196"/>
        <w:rPr>
          <w:rFonts w:ascii="宋体" w:hAnsi="宋体"/>
        </w:rPr>
      </w:pPr>
      <w:r>
        <w:rPr>
          <w:rFonts w:ascii="宋体" w:hAnsi="宋体" w:hint="eastAsia"/>
        </w:rPr>
        <w:t>29.2评审定标应当遵循公平、公正、科学、择优的原则。</w:t>
      </w:r>
    </w:p>
    <w:p>
      <w:pPr>
        <w:ind w:firstLine="470" w:firstLineChars="196"/>
        <w:rPr>
          <w:rFonts w:ascii="宋体" w:hAnsi="宋体"/>
        </w:rPr>
      </w:pPr>
      <w:r>
        <w:rPr>
          <w:rFonts w:ascii="宋体" w:hAnsi="宋体" w:hint="eastAsia"/>
        </w:rPr>
        <w:t>29.3评审活动依法进行，任何单位和个人不得非法干预评标过程和结果。</w:t>
      </w:r>
    </w:p>
    <w:p>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rPr>
      </w:pPr>
      <w:r>
        <w:rPr>
          <w:rFonts w:ascii="黑体" w:eastAsia="黑体" w:hAnsi="宋体" w:hint="eastAsia"/>
        </w:rPr>
        <w:t>30．向评审委员会提供的资料</w:t>
      </w:r>
    </w:p>
    <w:p>
      <w:pPr>
        <w:ind w:firstLine="470" w:firstLineChars="196"/>
        <w:rPr>
          <w:rFonts w:ascii="宋体" w:hAnsi="宋体"/>
        </w:rPr>
      </w:pPr>
      <w:r>
        <w:rPr>
          <w:rFonts w:ascii="宋体" w:hAnsi="宋体" w:hint="eastAsia"/>
        </w:rPr>
        <w:t>30.1公开发布的招标文件，包括图纸、服务清单、答疑文件等；</w:t>
      </w:r>
    </w:p>
    <w:p>
      <w:pPr>
        <w:ind w:firstLine="470" w:firstLineChars="196"/>
        <w:rPr>
          <w:rFonts w:ascii="宋体" w:hAnsi="宋体"/>
        </w:rPr>
      </w:pPr>
      <w:r>
        <w:rPr>
          <w:rFonts w:ascii="宋体" w:hAnsi="宋体" w:hint="eastAsia"/>
        </w:rPr>
        <w:t>30.2其他评标必须的资料。</w:t>
      </w:r>
    </w:p>
    <w:p>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70" w:firstLineChars="196"/>
        <w:rPr>
          <w:rFonts w:ascii="宋体" w:hAnsi="宋体"/>
        </w:rPr>
      </w:pPr>
      <w:r>
        <w:rPr>
          <w:rFonts w:ascii="宋体" w:hAnsi="宋体" w:hint="eastAsia"/>
        </w:rPr>
        <w:t>（1）招标的目的；</w:t>
      </w:r>
    </w:p>
    <w:p>
      <w:pPr>
        <w:ind w:firstLine="470" w:firstLineChars="196"/>
        <w:rPr>
          <w:rFonts w:ascii="宋体" w:hAnsi="宋体"/>
        </w:rPr>
      </w:pPr>
      <w:r>
        <w:rPr>
          <w:rFonts w:ascii="宋体" w:hAnsi="宋体" w:hint="eastAsia"/>
        </w:rPr>
        <w:t>（2）招标项目需求的范围和性质；</w:t>
      </w:r>
    </w:p>
    <w:p>
      <w:pPr>
        <w:ind w:firstLine="470" w:firstLineChars="196"/>
        <w:rPr>
          <w:rFonts w:ascii="宋体" w:hAnsi="宋体"/>
        </w:rPr>
      </w:pPr>
      <w:r>
        <w:rPr>
          <w:rFonts w:ascii="宋体" w:hAnsi="宋体" w:hint="eastAsia"/>
        </w:rPr>
        <w:t>（3）招标文件规定的投标人的资格、财政预算限额、商务条款；</w:t>
      </w:r>
    </w:p>
    <w:p>
      <w:pPr>
        <w:ind w:firstLine="470" w:firstLineChars="196"/>
        <w:rPr>
          <w:rFonts w:ascii="宋体" w:hAnsi="宋体"/>
        </w:rPr>
      </w:pPr>
      <w:r>
        <w:rPr>
          <w:rFonts w:ascii="宋体" w:hAnsi="宋体" w:hint="eastAsia"/>
        </w:rPr>
        <w:t>（4）招标文件规定的评标程序、评标方法和评标因素；</w:t>
      </w:r>
    </w:p>
    <w:p>
      <w:pPr>
        <w:ind w:firstLine="470" w:firstLineChars="196"/>
        <w:rPr>
          <w:rFonts w:ascii="宋体" w:hAnsi="宋体"/>
        </w:rPr>
      </w:pPr>
      <w:r>
        <w:rPr>
          <w:rFonts w:ascii="宋体" w:hAnsi="宋体" w:hint="eastAsia"/>
        </w:rPr>
        <w:t>（5）招标文件所列示的资格性审查表及符合性审查表。</w:t>
      </w:r>
    </w:p>
    <w:p>
      <w:pPr>
        <w:rPr>
          <w:rFonts w:ascii="黑体" w:eastAsia="黑体" w:hAnsi="宋体"/>
        </w:rPr>
      </w:pPr>
      <w:r>
        <w:rPr>
          <w:rFonts w:ascii="黑体" w:eastAsia="黑体" w:hAnsi="宋体" w:hint="eastAsia"/>
        </w:rPr>
        <w:t>31．独立评审</w:t>
      </w:r>
    </w:p>
    <w:p>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ind w:firstLine="470" w:firstLineChars="196"/>
        <w:rPr>
          <w:rFonts w:ascii="宋体" w:hAnsi="宋体"/>
          <w:bCs/>
          <w:szCs w:val="21"/>
        </w:rPr>
      </w:pPr>
    </w:p>
    <w:p>
      <w:pPr>
        <w:pStyle w:val="Heading2"/>
        <w:numPr>
          <w:ilvl w:val="0"/>
          <w:numId w:val="5"/>
        </w:numPr>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rPr>
      </w:pPr>
      <w:r>
        <w:rPr>
          <w:rFonts w:ascii="黑体" w:eastAsia="黑体" w:hAnsi="宋体" w:hint="eastAsia"/>
        </w:rPr>
        <w:t>32．投标文件初审</w:t>
      </w:r>
    </w:p>
    <w:p>
      <w:pPr>
        <w:ind w:firstLine="470" w:firstLineChars="196"/>
        <w:rPr>
          <w:rFonts w:ascii="宋体" w:hAnsi="宋体"/>
        </w:rPr>
      </w:pPr>
      <w:r>
        <w:rPr>
          <w:rFonts w:ascii="宋体" w:hAnsi="宋体" w:hint="eastAsia"/>
        </w:rPr>
        <w:t>32.1投标文件初审包括资格性审查和符合性审查。</w:t>
      </w:r>
    </w:p>
    <w:p>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70" w:firstLineChars="196"/>
        <w:rPr>
          <w:rFonts w:ascii="宋体" w:hAnsi="宋体"/>
          <w:bCs/>
        </w:rPr>
      </w:pPr>
      <w:r>
        <w:rPr>
          <w:rFonts w:ascii="宋体" w:hAnsi="宋体" w:hint="eastAsia"/>
          <w:bCs/>
        </w:rPr>
        <w:t>32.3 投标文件初审中关于供应商家数的计算:</w:t>
      </w:r>
    </w:p>
    <w:p>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rPr>
      </w:pPr>
      <w:r>
        <w:rPr>
          <w:rFonts w:ascii="宋体" w:hAnsi="宋体" w:hint="eastAsia"/>
        </w:rPr>
        <w:t>32.4投标人投标文件作无效处理的情形，具体包括但不限于以下：</w:t>
      </w:r>
    </w:p>
    <w:p>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70" w:firstLineChars="196"/>
        <w:rPr>
          <w:rFonts w:ascii="宋体" w:hAnsi="宋体"/>
        </w:rPr>
      </w:pPr>
      <w:r>
        <w:rPr>
          <w:rFonts w:ascii="宋体" w:hAnsi="宋体" w:hint="eastAsia"/>
        </w:rPr>
        <w:t>32.4.3不同投标人的投标文件载明的项目管理成员或者联系人员为同一人；</w:t>
      </w:r>
    </w:p>
    <w:p>
      <w:pPr>
        <w:ind w:firstLine="470" w:firstLineChars="196"/>
        <w:rPr>
          <w:rFonts w:ascii="宋体" w:hAnsi="宋体"/>
        </w:rPr>
      </w:pPr>
      <w:r>
        <w:rPr>
          <w:rFonts w:ascii="宋体" w:hAnsi="宋体" w:hint="eastAsia"/>
        </w:rPr>
        <w:t>32.4.4不同投标人的投标文件异常一致或者投标报价呈规律性差异；</w:t>
      </w:r>
    </w:p>
    <w:p>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70" w:firstLineChars="196"/>
        <w:rPr>
          <w:rFonts w:ascii="宋体" w:hAnsi="宋体"/>
        </w:rPr>
      </w:pPr>
      <w:r>
        <w:rPr>
          <w:rFonts w:ascii="宋体" w:hAnsi="宋体" w:hint="eastAsia"/>
        </w:rPr>
        <w:t>32.4.6投标供应商之间相互约定给予未中标的供应商利益补偿；</w:t>
      </w:r>
    </w:p>
    <w:p>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rPr>
      </w:pPr>
      <w:r>
        <w:rPr>
          <w:rFonts w:ascii="宋体" w:hAnsi="宋体" w:hint="eastAsia"/>
        </w:rPr>
        <w:t>32.4.8不同投标供应商的投标文件内容存在非正常一致；</w:t>
      </w:r>
    </w:p>
    <w:p>
      <w:pPr>
        <w:ind w:firstLine="470" w:firstLineChars="196"/>
        <w:rPr>
          <w:rFonts w:ascii="宋体" w:hAnsi="宋体"/>
        </w:rPr>
      </w:pPr>
      <w:r>
        <w:rPr>
          <w:rFonts w:ascii="宋体" w:hAnsi="宋体" w:hint="eastAsia"/>
        </w:rPr>
        <w:t>32.4.9在同一单位工作人员为两家以上（含两家）供应商进行同一项投标活动；</w:t>
      </w:r>
    </w:p>
    <w:p>
      <w:pPr>
        <w:ind w:firstLine="470" w:firstLineChars="196"/>
        <w:rPr>
          <w:rFonts w:ascii="宋体" w:hAnsi="宋体"/>
        </w:rPr>
      </w:pPr>
      <w:r>
        <w:rPr>
          <w:rFonts w:ascii="宋体" w:hAnsi="宋体" w:hint="eastAsia"/>
        </w:rPr>
        <w:t>32.4.10主管部门依照法律、法规认定的其他情形。</w:t>
      </w:r>
    </w:p>
    <w:p>
      <w:pPr>
        <w:ind w:firstLine="470"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rPr>
          <w:rFonts w:ascii="黑体" w:eastAsia="黑体" w:hAnsi="宋体"/>
        </w:rPr>
      </w:pPr>
      <w:r>
        <w:rPr>
          <w:rFonts w:ascii="黑体" w:eastAsia="黑体" w:hAnsi="宋体" w:hint="eastAsia"/>
        </w:rPr>
        <w:t>33．澄清有关问题</w:t>
      </w:r>
    </w:p>
    <w:p>
      <w:pPr>
        <w:ind w:firstLine="470" w:firstLineChars="196"/>
        <w:rPr>
          <w:rFonts w:ascii="宋体" w:hAnsi="宋体"/>
        </w:rPr>
      </w:pPr>
      <w:bookmarkStart w:id="82"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82"/>
    </w:p>
    <w:p>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rPr>
      </w:pPr>
      <w:bookmarkStart w:id="83" w:name="_Toc73517673"/>
      <w:bookmarkStart w:id="84" w:name="_Toc100052400"/>
      <w:bookmarkStart w:id="85" w:name="_Toc73521669"/>
      <w:bookmarkStart w:id="86" w:name="_Toc73518151"/>
      <w:bookmarkStart w:id="87" w:name="_Toc73521581"/>
      <w:r>
        <w:rPr>
          <w:rFonts w:ascii="黑体" w:eastAsia="黑体" w:hAnsi="宋体" w:hint="eastAsia"/>
        </w:rPr>
        <w:t>34．错误的修正</w:t>
      </w:r>
      <w:bookmarkEnd w:id="83"/>
      <w:bookmarkEnd w:id="84"/>
      <w:bookmarkEnd w:id="85"/>
      <w:bookmarkEnd w:id="86"/>
      <w:bookmarkEnd w:id="87"/>
    </w:p>
    <w:p>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70" w:firstLineChars="196"/>
        <w:rPr>
          <w:rFonts w:ascii="宋体" w:hAnsi="宋体"/>
          <w:szCs w:val="21"/>
        </w:rPr>
      </w:pPr>
      <w:r>
        <w:rPr>
          <w:rFonts w:ascii="宋体" w:hAnsi="宋体" w:hint="eastAsia"/>
          <w:szCs w:val="21"/>
        </w:rPr>
        <w:t>34.2大写金额和小写金额不一致的，以大写金额为准；</w:t>
      </w:r>
    </w:p>
    <w:p>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70" w:firstLineChars="196"/>
        <w:rPr>
          <w:rFonts w:ascii="宋体" w:hAnsi="宋体"/>
          <w:szCs w:val="21"/>
        </w:rPr>
      </w:pPr>
      <w:r>
        <w:rPr>
          <w:rFonts w:ascii="宋体" w:hAnsi="宋体" w:hint="eastAsia"/>
          <w:szCs w:val="21"/>
        </w:rPr>
        <w:t>34.4总价金额与按单价汇总金额不一致的，以单价金额计算结果为准。</w:t>
      </w:r>
    </w:p>
    <w:p>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rPr>
      </w:pPr>
      <w:r>
        <w:rPr>
          <w:rFonts w:ascii="黑体" w:eastAsia="黑体" w:hAnsi="宋体" w:hint="eastAsia"/>
        </w:rPr>
        <w:t>35．投标文件的比较与评价</w:t>
      </w:r>
    </w:p>
    <w:p>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rPr>
      </w:pPr>
      <w:r>
        <w:rPr>
          <w:rFonts w:ascii="黑体" w:eastAsia="黑体" w:hAnsi="宋体" w:hint="eastAsia"/>
        </w:rPr>
        <w:t>36. 实地考察或资料查验</w:t>
      </w:r>
    </w:p>
    <w:p>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rPr>
      </w:pPr>
      <w:r>
        <w:rPr>
          <w:rFonts w:ascii="黑体" w:eastAsia="黑体" w:hAnsi="宋体" w:hint="eastAsia"/>
        </w:rPr>
        <w:t>37．评审方法</w:t>
      </w:r>
    </w:p>
    <w:p>
      <w:pPr>
        <w:ind w:firstLine="470" w:firstLineChars="196"/>
        <w:rPr>
          <w:rFonts w:ascii="宋体" w:hAnsi="宋体"/>
          <w:b/>
          <w:bCs/>
          <w:szCs w:val="21"/>
        </w:rPr>
      </w:pPr>
      <w:r>
        <w:rPr>
          <w:rFonts w:ascii="宋体" w:hAnsi="宋体" w:hint="eastAsia"/>
          <w:b/>
          <w:bCs/>
          <w:szCs w:val="21"/>
        </w:rPr>
        <w:t>37.1.1最低价法</w:t>
      </w:r>
    </w:p>
    <w:p>
      <w:pPr>
        <w:ind w:firstLine="470" w:firstLineChars="196"/>
        <w:rPr>
          <w:rFonts w:ascii="ˎ̥" w:hAnsi="ˎ̥"/>
        </w:rPr>
      </w:pPr>
      <w:bookmarkStart w:id="88"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70" w:firstLineChars="196"/>
        <w:rPr>
          <w:rFonts w:ascii="宋体" w:hAnsi="宋体"/>
          <w:b/>
          <w:bCs/>
          <w:szCs w:val="21"/>
        </w:rPr>
      </w:pPr>
      <w:r>
        <w:rPr>
          <w:rFonts w:ascii="宋体" w:hAnsi="宋体" w:hint="eastAsia"/>
          <w:b/>
          <w:bCs/>
          <w:szCs w:val="21"/>
        </w:rPr>
        <w:t>37.1.2综合评分法</w:t>
      </w:r>
    </w:p>
    <w:p>
      <w:pPr>
        <w:ind w:firstLine="470" w:firstLineChars="196"/>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88"/>
      <w:r>
        <w:rPr>
          <w:rFonts w:ascii="宋体" w:hAnsi="宋体" w:hint="eastAsia"/>
          <w:bCs/>
          <w:color w:val="FF0000"/>
          <w:szCs w:val="21"/>
        </w:rPr>
        <w:t xml:space="preserve">  </w:t>
      </w:r>
      <w:r>
        <w:rPr>
          <w:rFonts w:ascii="宋体" w:hAnsi="宋体" w:hint="eastAsia"/>
          <w:bCs/>
          <w:szCs w:val="21"/>
        </w:rPr>
        <w:t xml:space="preserve">                                                                                                                                                                                                                                                                                                                                                                                                                                                                                                                                                                                                                                                                                                                                                                                                                                                                                                                                                                                                                                                                                                                                                                                                                                                                                                                                                                                                                                                                                                                                                                                                                                                                                                                                                                                                                                                                                                                                                                                                                                                                                                                                                                                                                                                                                                                                                                                                                                                                                                                                                                                                                                                                                                                                                                                                                                                                                                                                                                                                                           </w:t>
      </w:r>
    </w:p>
    <w:p>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70" w:firstLineChars="196"/>
        <w:rPr>
          <w:rFonts w:ascii="宋体" w:hAnsi="宋体"/>
          <w:b/>
          <w:bCs/>
          <w:szCs w:val="21"/>
        </w:rPr>
      </w:pPr>
      <w:r>
        <w:rPr>
          <w:rFonts w:ascii="宋体" w:hAnsi="宋体" w:hint="eastAsia"/>
          <w:b/>
          <w:bCs/>
          <w:szCs w:val="21"/>
        </w:rPr>
        <w:t>37.3重新评审的情形</w:t>
      </w:r>
    </w:p>
    <w:p>
      <w:pPr>
        <w:ind w:firstLine="470" w:firstLineChars="196"/>
        <w:rPr>
          <w:rFonts w:ascii="宋体" w:hAnsi="宋体"/>
          <w:b/>
          <w:bCs/>
          <w:szCs w:val="21"/>
        </w:rPr>
      </w:pPr>
      <w:r>
        <w:rPr>
          <w:rFonts w:ascii="宋体" w:hAnsi="宋体" w:cs="宋体" w:hint="eastAsia"/>
          <w:szCs w:val="21"/>
        </w:rPr>
        <w:t>评审结果汇总完成后，除下列情形外，任何人不得修改评审结果：</w:t>
      </w:r>
    </w:p>
    <w:p>
      <w:pPr>
        <w:ind w:firstLine="470" w:firstLineChars="196"/>
        <w:rPr>
          <w:rFonts w:ascii="宋体" w:hAnsi="宋体" w:cs="宋体"/>
          <w:szCs w:val="21"/>
        </w:rPr>
      </w:pPr>
      <w:r>
        <w:rPr>
          <w:rFonts w:ascii="宋体" w:hAnsi="宋体" w:cs="宋体" w:hint="eastAsia"/>
          <w:szCs w:val="21"/>
        </w:rPr>
        <w:t>37.3.1分值汇总计算错误的；</w:t>
      </w:r>
    </w:p>
    <w:p>
      <w:pPr>
        <w:ind w:firstLine="470" w:firstLineChars="196"/>
        <w:rPr>
          <w:rFonts w:ascii="宋体" w:hAnsi="宋体" w:cs="宋体"/>
          <w:szCs w:val="21"/>
        </w:rPr>
      </w:pPr>
      <w:r>
        <w:rPr>
          <w:rFonts w:ascii="宋体" w:hAnsi="宋体" w:cs="宋体" w:hint="eastAsia"/>
          <w:szCs w:val="21"/>
        </w:rPr>
        <w:t>37.3.2分项评分超出评分标准范围的；</w:t>
      </w:r>
    </w:p>
    <w:p>
      <w:pPr>
        <w:ind w:firstLine="470" w:firstLineChars="196"/>
        <w:rPr>
          <w:rFonts w:ascii="宋体" w:hAnsi="宋体" w:cs="宋体"/>
          <w:szCs w:val="21"/>
        </w:rPr>
      </w:pPr>
      <w:r>
        <w:rPr>
          <w:rFonts w:ascii="宋体" w:hAnsi="宋体" w:cs="宋体" w:hint="eastAsia"/>
          <w:szCs w:val="21"/>
        </w:rPr>
        <w:t>37.3.3评审委员会成员对客观评审因素评分不一致的；</w:t>
      </w:r>
    </w:p>
    <w:p>
      <w:pPr>
        <w:ind w:firstLine="470" w:firstLineChars="196"/>
        <w:rPr>
          <w:rFonts w:ascii="宋体" w:hAnsi="宋体" w:cs="宋体"/>
          <w:szCs w:val="21"/>
        </w:rPr>
      </w:pPr>
      <w:r>
        <w:rPr>
          <w:rFonts w:ascii="宋体" w:hAnsi="宋体" w:cs="宋体" w:hint="eastAsia"/>
          <w:szCs w:val="21"/>
        </w:rPr>
        <w:t>37.3.4经评审委员会认定评分畸高、畸低的。</w:t>
      </w:r>
    </w:p>
    <w:p>
      <w:pPr>
        <w:ind w:firstLine="470" w:firstLineChars="196"/>
        <w:rPr>
          <w:rFonts w:ascii="宋体" w:hAnsi="宋体" w:cs="宋体"/>
          <w:szCs w:val="21"/>
        </w:rPr>
      </w:pPr>
      <w:r>
        <w:rPr>
          <w:rFonts w:ascii="宋体" w:hAnsi="宋体" w:cs="宋体" w:hint="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cs="宋体"/>
          <w:szCs w:val="21"/>
        </w:rPr>
      </w:pPr>
      <w:r>
        <w:rPr>
          <w:rFonts w:ascii="宋体" w:hAnsi="宋体" w:cs="宋体" w:hint="eastAsia"/>
          <w:szCs w:val="21"/>
        </w:rPr>
        <w:t>投标人对本条第一款情形提出质疑的，采购人或者采购代理机构可以组织原评审委员会进行重新评审，重新评审改变评审结果的，应当书面报告本级财政部门。</w:t>
      </w:r>
    </w:p>
    <w:p>
      <w:pPr>
        <w:ind w:firstLine="470" w:firstLineChars="196"/>
        <w:rPr>
          <w:rFonts w:ascii="宋体" w:hAnsi="宋体"/>
          <w:b/>
          <w:bCs/>
          <w:szCs w:val="21"/>
        </w:rPr>
      </w:pPr>
      <w:r>
        <w:rPr>
          <w:rFonts w:ascii="宋体" w:hAnsi="宋体" w:hint="eastAsia"/>
          <w:b/>
          <w:bCs/>
          <w:szCs w:val="21"/>
        </w:rPr>
        <w:t xml:space="preserve"> 37.4重新组建评审委员会的情形</w:t>
      </w:r>
    </w:p>
    <w:p>
      <w:pPr>
        <w:ind w:firstLine="470" w:firstLineChars="196"/>
        <w:rPr>
          <w:rFonts w:ascii="宋体" w:hAnsi="宋体" w:cs="宋体"/>
          <w:szCs w:val="21"/>
        </w:rPr>
      </w:pPr>
      <w:r>
        <w:rPr>
          <w:rFonts w:ascii="宋体" w:hAnsi="宋体" w:cs="宋体" w:hint="eastAsia"/>
          <w:szCs w:val="21"/>
        </w:rPr>
        <w:t>评审委员会或者其成员存在下列情形导致评审结果无效的，重新组建评审委员会进行评标，并书面报告本级财政部门：</w:t>
      </w:r>
    </w:p>
    <w:p>
      <w:pPr>
        <w:ind w:firstLine="470" w:firstLineChars="196"/>
        <w:rPr>
          <w:rFonts w:ascii="宋体" w:hAnsi="宋体" w:cs="宋体"/>
          <w:szCs w:val="21"/>
        </w:rPr>
      </w:pPr>
      <w:r>
        <w:rPr>
          <w:rFonts w:ascii="宋体" w:hAnsi="宋体" w:cs="宋体" w:hint="eastAsia"/>
          <w:szCs w:val="21"/>
        </w:rPr>
        <w:t>37.4.1评审委员会组成不符合《政府采购货物和服务招标投标管理办法》规定的；</w:t>
      </w:r>
    </w:p>
    <w:p>
      <w:pPr>
        <w:ind w:firstLine="470" w:firstLineChars="196"/>
        <w:rPr>
          <w:rFonts w:ascii="宋体" w:hAnsi="宋体" w:cs="宋体"/>
          <w:szCs w:val="21"/>
        </w:rPr>
      </w:pPr>
      <w:r>
        <w:rPr>
          <w:rFonts w:ascii="宋体" w:hAnsi="宋体" w:cs="宋体" w:hint="eastAsia"/>
          <w:szCs w:val="21"/>
        </w:rPr>
        <w:t>37.4.2有《政府采购货物和服务招标投标管理办法》第六十二条第一至五项情形的；</w:t>
      </w:r>
    </w:p>
    <w:p>
      <w:pPr>
        <w:ind w:firstLine="470" w:firstLineChars="196"/>
        <w:rPr>
          <w:rFonts w:ascii="宋体" w:hAnsi="宋体" w:cs="宋体"/>
          <w:szCs w:val="21"/>
        </w:rPr>
      </w:pPr>
      <w:r>
        <w:rPr>
          <w:rFonts w:ascii="宋体" w:hAnsi="宋体" w:cs="宋体" w:hint="eastAsia"/>
          <w:szCs w:val="21"/>
        </w:rPr>
        <w:t>37.4.3评审委员会及其成员独立评标受到非法干预的；</w:t>
      </w:r>
    </w:p>
    <w:p>
      <w:pPr>
        <w:ind w:firstLine="470" w:firstLineChars="196"/>
        <w:rPr>
          <w:rFonts w:ascii="宋体" w:hAnsi="宋体" w:cs="宋体"/>
          <w:szCs w:val="21"/>
        </w:rPr>
      </w:pPr>
      <w:r>
        <w:rPr>
          <w:rFonts w:ascii="宋体" w:hAnsi="宋体" w:cs="宋体" w:hint="eastAsia"/>
          <w:szCs w:val="21"/>
        </w:rPr>
        <w:t>37.4.4有政府采购法实施条例第七十五条规定的违法行为的。</w:t>
      </w:r>
    </w:p>
    <w:p>
      <w:pPr>
        <w:ind w:firstLine="470" w:firstLineChars="196"/>
        <w:rPr>
          <w:rFonts w:ascii="宋体" w:hAnsi="宋体" w:cs="宋体"/>
          <w:szCs w:val="21"/>
        </w:rPr>
      </w:pPr>
      <w:r>
        <w:rPr>
          <w:rFonts w:ascii="宋体" w:hAnsi="宋体" w:cs="宋体" w:hint="eastAsia"/>
          <w:szCs w:val="21"/>
        </w:rPr>
        <w:t>有违法违规行为的原评审委员会成员不得参加重新组建的评审委员会。</w:t>
      </w:r>
    </w:p>
    <w:p>
      <w:pPr>
        <w:ind w:firstLine="470" w:firstLineChars="196"/>
        <w:rPr>
          <w:rFonts w:ascii="宋体" w:hAnsi="宋体"/>
          <w:szCs w:val="21"/>
        </w:rPr>
      </w:pPr>
    </w:p>
    <w:p>
      <w:pPr>
        <w:pStyle w:val="Heading2"/>
        <w:numPr>
          <w:ilvl w:val="0"/>
          <w:numId w:val="5"/>
        </w:numPr>
        <w:spacing w:before="120" w:beforeLines="50" w:after="120" w:afterLines="50"/>
        <w:ind w:left="562" w:hanging="562"/>
        <w:rPr>
          <w:sz w:val="28"/>
          <w:szCs w:val="28"/>
        </w:rPr>
      </w:pPr>
      <w:r>
        <w:rPr>
          <w:rFonts w:hint="eastAsia"/>
          <w:sz w:val="28"/>
          <w:szCs w:val="28"/>
        </w:rPr>
        <w:t>定标及公示</w:t>
      </w:r>
    </w:p>
    <w:p>
      <w:pPr>
        <w:rPr>
          <w:rFonts w:ascii="黑体" w:eastAsia="黑体" w:hAnsi="宋体"/>
        </w:rPr>
      </w:pPr>
      <w:r>
        <w:rPr>
          <w:rFonts w:ascii="黑体" w:eastAsia="黑体" w:hAnsi="宋体" w:hint="eastAsia"/>
        </w:rPr>
        <w:t>38．定标方法</w:t>
      </w:r>
    </w:p>
    <w:p>
      <w:pPr>
        <w:ind w:firstLine="470" w:firstLineChars="196"/>
        <w:rPr>
          <w:rFonts w:ascii="宋体" w:hAnsi="宋体"/>
          <w:szCs w:val="21"/>
        </w:rPr>
      </w:pPr>
      <w:r>
        <w:rPr>
          <w:rFonts w:ascii="宋体" w:hAnsi="宋体" w:hint="eastAsia"/>
          <w:szCs w:val="21"/>
        </w:rPr>
        <w:t>38.1非评定分离项目定标方法</w:t>
      </w:r>
    </w:p>
    <w:p>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p>
    <w:p>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70" w:firstLineChars="196"/>
        <w:rPr>
          <w:rFonts w:ascii="宋体" w:hAnsi="宋体"/>
          <w:szCs w:val="21"/>
        </w:rPr>
      </w:pPr>
      <w:r>
        <w:rPr>
          <w:rFonts w:ascii="宋体" w:hAnsi="宋体" w:hint="eastAsia"/>
          <w:szCs w:val="21"/>
        </w:rPr>
        <w:t>38.2评定分离项目定标方法</w:t>
      </w:r>
    </w:p>
    <w:p>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70" w:firstLineChars="196"/>
      </w:pPr>
      <w:r>
        <w:rPr>
          <w:rFonts w:ascii="宋体" w:hAnsi="宋体"/>
          <w:szCs w:val="21"/>
        </w:rPr>
        <w:t xml:space="preserve">38.2.2 </w:t>
      </w:r>
      <w:bookmarkStart w:id="89"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70" w:firstLineChars="196"/>
        <w:rPr>
          <w:rFonts w:ascii="宋体" w:hAnsi="宋体"/>
          <w:szCs w:val="21"/>
        </w:rPr>
      </w:pPr>
      <w:r>
        <w:rPr>
          <w:rFonts w:ascii="宋体" w:hAnsi="宋体" w:hint="eastAsia"/>
          <w:szCs w:val="21"/>
        </w:rPr>
        <w:t>38.2.3</w:t>
      </w:r>
      <w:bookmarkStart w:id="90"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89"/>
      <w:bookmarkEnd w:id="90"/>
    </w:p>
    <w:p>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70" w:firstLineChars="196"/>
        <w:rPr>
          <w:rFonts w:ascii="宋体" w:hAnsi="宋体"/>
          <w:szCs w:val="21"/>
        </w:rPr>
      </w:pPr>
      <w:r>
        <w:rPr>
          <w:rFonts w:ascii="宋体" w:hAnsi="宋体" w:hint="eastAsia"/>
          <w:szCs w:val="21"/>
        </w:rPr>
        <w:t>说明：采购人及投标供应商应按照上述方法提前做好相关准备。</w:t>
      </w:r>
    </w:p>
    <w:p>
      <w:pPr>
        <w:ind w:firstLine="470" w:firstLineChars="196"/>
        <w:rPr>
          <w:rFonts w:ascii="宋体" w:hAnsi="宋体"/>
          <w:szCs w:val="21"/>
        </w:rPr>
      </w:pPr>
      <w:r>
        <w:rPr>
          <w:rFonts w:ascii="宋体" w:hAnsi="宋体" w:hint="eastAsia"/>
          <w:szCs w:val="21"/>
        </w:rPr>
        <w:t>38.3专用条款另有规定的，按专用条款相关要求定标。</w:t>
      </w:r>
    </w:p>
    <w:p>
      <w:pPr>
        <w:rPr>
          <w:rFonts w:ascii="黑体" w:eastAsia="黑体" w:hAnsi="宋体"/>
        </w:rPr>
      </w:pPr>
      <w:r>
        <w:rPr>
          <w:rFonts w:ascii="黑体" w:eastAsia="黑体" w:hAnsi="宋体" w:hint="eastAsia"/>
        </w:rPr>
        <w:t>39．编写评审报告</w:t>
      </w:r>
    </w:p>
    <w:p>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rPr>
      </w:pPr>
      <w:r>
        <w:rPr>
          <w:rFonts w:ascii="黑体" w:eastAsia="黑体" w:hAnsi="宋体" w:hint="eastAsia"/>
        </w:rPr>
        <w:t>40．中标公告</w:t>
      </w:r>
    </w:p>
    <w:p>
      <w:pPr>
        <w:jc w:val="both"/>
        <w:rPr>
          <w:rFonts w:ascii="宋体" w:hAnsi="宋体"/>
          <w:szCs w:val="21"/>
        </w:rPr>
      </w:pPr>
      <w:r>
        <w:rPr>
          <w:rFonts w:ascii="宋体" w:hAnsi="宋体" w:hint="eastAsia"/>
          <w:szCs w:val="21"/>
        </w:rPr>
        <w:t>40.1</w:t>
      </w:r>
      <w:bookmarkStart w:id="91" w:name="_Hlk72438709"/>
      <w:r>
        <w:rPr>
          <w:rFonts w:ascii="宋体" w:hAnsi="宋体" w:hint="eastAsia"/>
          <w:szCs w:val="21"/>
        </w:rPr>
        <w:t>为体现“公开、公平、公正”的原则，评审结束后经采购人确认（确定）评审结果，政府集中采购机构将在</w:t>
      </w:r>
      <w:r>
        <w:rPr>
          <w:rFonts w:ascii="宋体" w:eastAsia="宋体" w:hAnsi="宋体" w:hint="eastAsia"/>
          <w:b/>
          <w:bCs/>
          <w:kern w:val="2"/>
          <w:sz w:val="21"/>
          <w:szCs w:val="21"/>
        </w:rPr>
        <w:t>中国·深圳政府采购</w:t>
      </w:r>
      <w:r>
        <w:rPr>
          <w:rFonts w:ascii="宋体" w:hAnsi="宋体" w:hint="eastAsia"/>
          <w:b/>
          <w:bCs/>
          <w:szCs w:val="21"/>
        </w:rPr>
        <w:t>网站（http://zfcg.szggzy.com:8081/）</w:t>
      </w:r>
      <w:r>
        <w:rPr>
          <w:rFonts w:ascii="宋体" w:hAnsi="宋体" w:hint="eastAsia"/>
          <w:szCs w:val="21"/>
        </w:rPr>
        <w:t>上发布中标结果公告。</w:t>
      </w:r>
      <w:bookmarkEnd w:id="91"/>
      <w:bookmarkStart w:id="92" w:name="_Hlk7243875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w:t>
      </w:r>
      <w:r>
        <w:rPr>
          <w:rFonts w:ascii="宋体" w:hAnsi="宋体" w:hint="eastAsia"/>
          <w:szCs w:val="21"/>
        </w:rPr>
        <w:t>若在公示期内未提出质疑，则视为认同该评审结果。</w:t>
      </w:r>
    </w:p>
    <w:p>
      <w:pPr>
        <w:ind w:firstLine="470" w:firstLineChars="196"/>
        <w:rPr>
          <w:rFonts w:ascii="宋体" w:hAnsi="宋体"/>
          <w:szCs w:val="21"/>
        </w:rPr>
      </w:pPr>
      <w:bookmarkEnd w:id="92"/>
      <w:r>
        <w:rPr>
          <w:rFonts w:ascii="宋体" w:hAnsi="宋体" w:hint="eastAsia"/>
          <w:szCs w:val="21"/>
        </w:rPr>
        <w:t>40.2质疑、投诉供应商应保证质疑、投诉内容的真实性和可靠性，并承担相应的法律责任。</w:t>
      </w:r>
    </w:p>
    <w:p>
      <w:pPr>
        <w:rPr>
          <w:rFonts w:ascii="黑体" w:eastAsia="黑体" w:hAnsi="宋体"/>
        </w:rPr>
      </w:pPr>
      <w:r>
        <w:rPr>
          <w:rFonts w:ascii="黑体" w:eastAsia="黑体" w:hAnsi="宋体" w:hint="eastAsia"/>
        </w:rPr>
        <w:t>41．中标通知书</w:t>
      </w:r>
    </w:p>
    <w:p>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93" w:name="_Hlk72438863"/>
      <w:r>
        <w:rPr>
          <w:rFonts w:ascii="宋体" w:hAnsi="宋体" w:hint="eastAsia"/>
          <w:szCs w:val="21"/>
        </w:rPr>
        <w:t>中标公告公布以后无异常的情况下,中标供应商和采购人可自行在</w:t>
      </w:r>
      <w:r>
        <w:rPr>
          <w:rFonts w:ascii="宋体" w:eastAsia="宋体" w:hAnsi="宋体" w:hint="eastAsia"/>
          <w:b/>
          <w:bCs/>
          <w:kern w:val="2"/>
          <w:sz w:val="21"/>
          <w:szCs w:val="21"/>
        </w:rPr>
        <w:t>中国·深圳政府采购</w:t>
      </w:r>
      <w:r>
        <w:rPr>
          <w:rFonts w:ascii="宋体" w:hAnsi="宋体" w:hint="eastAsia"/>
          <w:b/>
          <w:bCs/>
          <w:szCs w:val="21"/>
        </w:rPr>
        <w:t>网站（http://zfcg.szggzy.com:8081/）</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93"/>
    </w:p>
    <w:p>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70" w:firstLineChars="196"/>
        <w:rPr>
          <w:rFonts w:ascii="宋体" w:hAnsi="宋体"/>
          <w:szCs w:val="21"/>
        </w:rPr>
      </w:pPr>
      <w:bookmarkStart w:id="94" w:name="_Hlk71407340"/>
      <w:r>
        <w:rPr>
          <w:rFonts w:ascii="宋体" w:hAnsi="宋体" w:hint="eastAsia"/>
          <w:szCs w:val="21"/>
        </w:rPr>
        <w:t>41.3因质疑投诉或其它原因导致项目结果变更或采购终止的，政府集中采购机构有权吊销中标通知书。</w:t>
      </w:r>
    </w:p>
    <w:p>
      <w:pPr>
        <w:ind w:firstLine="470" w:firstLineChars="196"/>
        <w:rPr>
          <w:rFonts w:ascii="宋体" w:hAnsi="宋体"/>
          <w:szCs w:val="21"/>
        </w:rPr>
      </w:pPr>
      <w:bookmarkEnd w:id="94"/>
    </w:p>
    <w:p>
      <w:pPr>
        <w:pStyle w:val="Heading2"/>
        <w:numPr>
          <w:ilvl w:val="0"/>
          <w:numId w:val="5"/>
        </w:numPr>
        <w:spacing w:before="120" w:beforeLines="50" w:after="120" w:afterLines="50"/>
        <w:ind w:left="562" w:hanging="562"/>
        <w:rPr>
          <w:sz w:val="28"/>
          <w:szCs w:val="28"/>
        </w:rPr>
      </w:pPr>
      <w:r>
        <w:rPr>
          <w:rFonts w:hint="eastAsia"/>
          <w:sz w:val="28"/>
          <w:szCs w:val="28"/>
        </w:rPr>
        <w:t>公开招标失败的后续处理</w:t>
      </w:r>
    </w:p>
    <w:p>
      <w:pPr>
        <w:rPr>
          <w:rFonts w:ascii="黑体" w:eastAsia="黑体" w:hAnsi="宋体"/>
        </w:rPr>
      </w:pPr>
      <w:r>
        <w:rPr>
          <w:rFonts w:ascii="黑体" w:eastAsia="黑体" w:hAnsi="宋体" w:hint="eastAsia"/>
        </w:rPr>
        <w:t>42．公开招标失败的处理</w:t>
      </w:r>
    </w:p>
    <w:p>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szCs w:val="21"/>
        </w:rPr>
      </w:pPr>
      <w:r>
        <w:rPr>
          <w:rFonts w:ascii="宋体" w:hAnsi="宋体" w:hint="eastAsia"/>
          <w:szCs w:val="21"/>
        </w:rPr>
        <w:t>42.3重新组织采购有以下两种组织形式：</w:t>
      </w:r>
    </w:p>
    <w:p>
      <w:pPr>
        <w:ind w:firstLine="470" w:firstLineChars="196"/>
        <w:rPr>
          <w:rFonts w:ascii="宋体" w:hAnsi="宋体"/>
        </w:rPr>
      </w:pPr>
      <w:r>
        <w:rPr>
          <w:rFonts w:ascii="宋体" w:hAnsi="宋体" w:hint="eastAsia"/>
        </w:rPr>
        <w:t>（1）由政府集中采购机构重新组织公开招标；</w:t>
      </w:r>
    </w:p>
    <w:p>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黑体" w:eastAsia="黑体" w:hAnsi="宋体" w:hint="eastAsia"/>
        </w:rPr>
        <w:t xml:space="preserve">    </w:t>
      </w:r>
      <w:r>
        <w:rPr>
          <w:rFonts w:ascii="宋体" w:hAnsi="宋体" w:hint="eastAsia"/>
        </w:rPr>
        <w:t>42.5公开招标失败的采购项目经同级财政部门批准转为竞争性谈判或单一来源谈判方式采购的，按规定要求组织政府采购工作。</w:t>
      </w:r>
    </w:p>
    <w:p>
      <w:pPr>
        <w:rPr>
          <w:rFonts w:ascii="黑体" w:eastAsia="黑体" w:hAnsi="宋体"/>
        </w:rPr>
      </w:pPr>
    </w:p>
    <w:p>
      <w:pPr>
        <w:pStyle w:val="Heading2"/>
        <w:numPr>
          <w:ilvl w:val="0"/>
          <w:numId w:val="5"/>
        </w:numPr>
        <w:spacing w:before="120" w:beforeLines="50" w:after="120" w:afterLines="50"/>
        <w:ind w:left="562" w:hanging="562"/>
        <w:rPr>
          <w:sz w:val="28"/>
          <w:szCs w:val="28"/>
        </w:rPr>
      </w:pPr>
      <w:bookmarkStart w:id="95" w:name="_Hlk72439043"/>
      <w:r>
        <w:rPr>
          <w:rFonts w:hint="eastAsia"/>
          <w:sz w:val="28"/>
          <w:szCs w:val="28"/>
        </w:rPr>
        <w:t>合同的授予与备案</w:t>
      </w:r>
      <w:bookmarkEnd w:id="95"/>
    </w:p>
    <w:p>
      <w:pPr>
        <w:rPr>
          <w:rFonts w:ascii="黑体" w:eastAsia="黑体" w:hAnsi="宋体"/>
        </w:rPr>
      </w:pPr>
      <w:bookmarkStart w:id="96" w:name="_Toc100052408"/>
      <w:bookmarkStart w:id="97" w:name="_Toc73518157"/>
      <w:bookmarkStart w:id="98" w:name="_Toc73517679"/>
      <w:bookmarkStart w:id="99" w:name="_Toc73521586"/>
      <w:bookmarkStart w:id="100" w:name="_Toc73521674"/>
      <w:bookmarkStart w:id="101" w:name="_Hlk72439088"/>
      <w:r>
        <w:rPr>
          <w:rFonts w:ascii="黑体" w:eastAsia="黑体" w:hAnsi="宋体" w:hint="eastAsia"/>
        </w:rPr>
        <w:t>43．合同授予标准</w:t>
      </w:r>
      <w:bookmarkEnd w:id="96"/>
      <w:bookmarkEnd w:id="97"/>
      <w:bookmarkEnd w:id="98"/>
      <w:bookmarkEnd w:id="99"/>
      <w:bookmarkEnd w:id="100"/>
    </w:p>
    <w:p>
      <w:pPr>
        <w:ind w:firstLine="470"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rPr>
      </w:pPr>
      <w:bookmarkStart w:id="102" w:name="_Toc73521587"/>
      <w:bookmarkStart w:id="103" w:name="_Toc100052409"/>
      <w:bookmarkStart w:id="104" w:name="_Toc73518158"/>
      <w:bookmarkStart w:id="105" w:name="_Toc73521675"/>
      <w:bookmarkStart w:id="106" w:name="_Toc73517680"/>
      <w:r>
        <w:rPr>
          <w:rFonts w:ascii="黑体" w:eastAsia="黑体" w:hAnsi="宋体" w:hint="eastAsia"/>
        </w:rPr>
        <w:t>44．</w:t>
      </w:r>
      <w:bookmarkEnd w:id="102"/>
      <w:bookmarkEnd w:id="103"/>
      <w:bookmarkEnd w:id="104"/>
      <w:bookmarkEnd w:id="105"/>
      <w:bookmarkEnd w:id="106"/>
      <w:r>
        <w:rPr>
          <w:rFonts w:ascii="黑体" w:eastAsia="黑体" w:hAnsi="宋体" w:hint="eastAsia"/>
        </w:rPr>
        <w:t>接受和拒绝任何或所有投标的权力</w:t>
      </w:r>
    </w:p>
    <w:p>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rPr>
      </w:pPr>
      <w:bookmarkStart w:id="107" w:name="_Toc73518160"/>
      <w:bookmarkStart w:id="108" w:name="_Toc100052410"/>
      <w:bookmarkStart w:id="109" w:name="_Toc73517682"/>
      <w:bookmarkStart w:id="110" w:name="_Toc73521589"/>
      <w:bookmarkStart w:id="111" w:name="_Toc73521677"/>
      <w:r>
        <w:rPr>
          <w:rFonts w:ascii="黑体" w:eastAsia="黑体" w:hAnsi="宋体" w:hint="eastAsia"/>
        </w:rPr>
        <w:t>45．合同的签订</w:t>
      </w:r>
      <w:bookmarkEnd w:id="107"/>
      <w:bookmarkEnd w:id="108"/>
      <w:bookmarkEnd w:id="109"/>
      <w:bookmarkEnd w:id="110"/>
      <w:bookmarkEnd w:id="111"/>
    </w:p>
    <w:p>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szCs w:val="21"/>
        </w:rPr>
        <w:t>情节严重的，由</w:t>
      </w:r>
      <w:r>
        <w:rPr>
          <w:rFonts w:ascii="宋体" w:hAnsi="宋体" w:cs="宋体" w:hint="eastAsia"/>
          <w:szCs w:val="21"/>
        </w:rPr>
        <w:t>同级财政</w:t>
      </w:r>
      <w:r>
        <w:rPr>
          <w:rFonts w:ascii="宋体" w:hAnsi="宋体" w:cs="宋体"/>
          <w:szCs w:val="21"/>
        </w:rPr>
        <w:t>部门记入供应商诚信档案，予以通报</w:t>
      </w:r>
      <w:r>
        <w:rPr>
          <w:rFonts w:ascii="宋体" w:hAnsi="宋体" w:hint="eastAsia"/>
          <w:szCs w:val="21"/>
        </w:rPr>
        <w:t>；</w:t>
      </w:r>
    </w:p>
    <w:p>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rPr>
      </w:pPr>
      <w:bookmarkStart w:id="112" w:name="_Toc100052411"/>
      <w:bookmarkStart w:id="113" w:name="_Toc73518161"/>
      <w:bookmarkStart w:id="114" w:name="_Toc73521678"/>
      <w:bookmarkStart w:id="115" w:name="_Toc73521590"/>
      <w:bookmarkStart w:id="116" w:name="_Toc73517683"/>
      <w:r>
        <w:rPr>
          <w:rFonts w:ascii="黑体" w:eastAsia="黑体" w:hAnsi="宋体" w:hint="eastAsia"/>
        </w:rPr>
        <w:t>46．履约担保</w:t>
      </w:r>
      <w:bookmarkEnd w:id="112"/>
      <w:bookmarkEnd w:id="113"/>
      <w:bookmarkEnd w:id="114"/>
      <w:bookmarkEnd w:id="115"/>
      <w:bookmarkEnd w:id="116"/>
    </w:p>
    <w:p>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rPr>
      </w:pPr>
      <w:r>
        <w:rPr>
          <w:rFonts w:ascii="黑体" w:eastAsia="黑体" w:hAnsi="宋体" w:hint="eastAsia"/>
        </w:rPr>
        <w:t>47. 合同备案</w:t>
      </w:r>
    </w:p>
    <w:p>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rPr>
      </w:pPr>
      <w:r>
        <w:rPr>
          <w:rFonts w:ascii="黑体" w:eastAsia="黑体" w:hAnsi="宋体" w:hint="eastAsia"/>
        </w:rPr>
        <w:t>48. 合同变更</w:t>
      </w:r>
    </w:p>
    <w:p>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pPr>
        <w:rPr>
          <w:rFonts w:ascii="黑体" w:eastAsia="黑体" w:hAnsi="宋体"/>
        </w:rPr>
      </w:pPr>
      <w:r>
        <w:rPr>
          <w:rFonts w:ascii="黑体" w:eastAsia="黑体" w:hAnsi="宋体" w:hint="eastAsia"/>
        </w:rPr>
        <w:t>49. 项目验收</w:t>
      </w:r>
    </w:p>
    <w:p>
      <w:pPr>
        <w:ind w:right="176" w:firstLine="420"/>
        <w:rPr>
          <w:rFonts w:ascii="宋体" w:hAnsi="宋体"/>
        </w:rPr>
      </w:pPr>
      <w:r>
        <w:rPr>
          <w:rFonts w:ascii="宋体" w:hAnsi="宋体" w:hint="eastAsia"/>
        </w:rPr>
        <w:t>49.1采购人应当按照招标文件和合同规定的标准和方法，及时组织验收。</w:t>
      </w:r>
      <w:r>
        <w:rPr>
          <w:rFonts w:ascii="宋体" w:hAnsi="宋体"/>
        </w:rPr>
        <w:t xml:space="preserve"> </w:t>
      </w:r>
    </w:p>
    <w:p>
      <w:pPr>
        <w:rPr>
          <w:rFonts w:ascii="黑体" w:eastAsia="黑体" w:hAnsi="宋体"/>
        </w:rPr>
      </w:pPr>
      <w:r>
        <w:rPr>
          <w:rFonts w:ascii="黑体" w:eastAsia="黑体" w:hAnsi="宋体" w:hint="eastAsia"/>
        </w:rPr>
        <w:t>50. 宣传</w:t>
      </w:r>
    </w:p>
    <w:p>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40" w:firstLine="470" w:leftChars="100" w:firstLineChars="196"/>
        <w:rPr>
          <w:rFonts w:ascii="宋体" w:hAnsi="宋体"/>
        </w:rPr>
      </w:pPr>
      <w:r>
        <w:rPr>
          <w:rFonts w:ascii="宋体" w:hAnsi="宋体"/>
        </w:rPr>
        <w:t>a.名片、宣传册、广告标语等；</w:t>
      </w:r>
    </w:p>
    <w:p>
      <w:pPr>
        <w:ind w:left="240" w:firstLine="470" w:leftChars="100" w:firstLineChars="196"/>
        <w:rPr>
          <w:rFonts w:ascii="宋体" w:hAnsi="宋体"/>
        </w:rPr>
      </w:pPr>
      <w:r>
        <w:rPr>
          <w:rFonts w:ascii="宋体" w:hAnsi="宋体"/>
        </w:rPr>
        <w:t>b.案例介绍、推广等；</w:t>
      </w:r>
    </w:p>
    <w:p>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rPr>
      </w:pPr>
      <w:r>
        <w:rPr>
          <w:rFonts w:ascii="黑体" w:eastAsia="黑体" w:hAnsi="宋体" w:hint="eastAsia"/>
        </w:rPr>
        <w:t>51. 供应商违法责任</w:t>
      </w:r>
    </w:p>
    <w:p>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70" w:firstLineChars="196"/>
        <w:rPr>
          <w:rFonts w:ascii="宋体" w:hAnsi="宋体"/>
          <w:szCs w:val="21"/>
        </w:rPr>
      </w:pPr>
      <w:r>
        <w:rPr>
          <w:rFonts w:ascii="宋体" w:hAnsi="宋体" w:hint="eastAsia"/>
          <w:szCs w:val="21"/>
        </w:rPr>
        <w:t>（1）在采购活动中应当回避而未回避的；</w:t>
      </w:r>
    </w:p>
    <w:p>
      <w:pPr>
        <w:ind w:firstLine="470" w:firstLineChars="196"/>
        <w:rPr>
          <w:rFonts w:ascii="宋体" w:hAnsi="宋体"/>
          <w:szCs w:val="21"/>
        </w:rPr>
      </w:pPr>
      <w:r>
        <w:rPr>
          <w:rFonts w:ascii="宋体" w:hAnsi="宋体" w:hint="eastAsia"/>
          <w:szCs w:val="21"/>
        </w:rPr>
        <w:t>（2）未按本条例规定签订、履行采购合同，造成严重后果的；</w:t>
      </w:r>
    </w:p>
    <w:p>
      <w:pPr>
        <w:ind w:firstLine="470" w:firstLineChars="196"/>
        <w:rPr>
          <w:rFonts w:ascii="宋体" w:hAnsi="宋体"/>
          <w:szCs w:val="21"/>
        </w:rPr>
      </w:pPr>
      <w:r>
        <w:rPr>
          <w:rFonts w:ascii="宋体" w:hAnsi="宋体" w:hint="eastAsia"/>
          <w:szCs w:val="21"/>
        </w:rPr>
        <w:t>（3）隐瞒真实情况，提供虚假资料的；</w:t>
      </w:r>
    </w:p>
    <w:p>
      <w:pPr>
        <w:ind w:firstLine="470" w:firstLineChars="196"/>
        <w:rPr>
          <w:rFonts w:ascii="宋体" w:hAnsi="宋体"/>
          <w:szCs w:val="21"/>
        </w:rPr>
      </w:pPr>
      <w:r>
        <w:rPr>
          <w:rFonts w:ascii="宋体" w:hAnsi="宋体" w:hint="eastAsia"/>
          <w:szCs w:val="21"/>
        </w:rPr>
        <w:t>（4）以非法手段排斥其他供应商参与竞争的；</w:t>
      </w:r>
    </w:p>
    <w:p>
      <w:pPr>
        <w:ind w:firstLine="470" w:firstLineChars="196"/>
        <w:rPr>
          <w:rFonts w:ascii="宋体" w:hAnsi="宋体"/>
          <w:szCs w:val="21"/>
        </w:rPr>
      </w:pPr>
      <w:r>
        <w:rPr>
          <w:rFonts w:ascii="宋体" w:hAnsi="宋体" w:hint="eastAsia"/>
          <w:szCs w:val="21"/>
        </w:rPr>
        <w:t>（5）与其他采购参加人串通投标的；</w:t>
      </w:r>
    </w:p>
    <w:p>
      <w:pPr>
        <w:ind w:firstLine="470" w:firstLineChars="196"/>
        <w:rPr>
          <w:rFonts w:ascii="宋体" w:hAnsi="宋体"/>
          <w:szCs w:val="21"/>
        </w:rPr>
      </w:pPr>
      <w:r>
        <w:rPr>
          <w:rFonts w:ascii="宋体" w:hAnsi="宋体" w:hint="eastAsia"/>
          <w:szCs w:val="21"/>
        </w:rPr>
        <w:t>（6）恶意投诉的；</w:t>
      </w:r>
    </w:p>
    <w:p>
      <w:pPr>
        <w:ind w:firstLine="470" w:firstLineChars="196"/>
        <w:rPr>
          <w:rFonts w:ascii="宋体" w:hAnsi="宋体"/>
          <w:szCs w:val="21"/>
        </w:rPr>
      </w:pPr>
      <w:r>
        <w:rPr>
          <w:rFonts w:ascii="宋体" w:hAnsi="宋体" w:hint="eastAsia"/>
          <w:szCs w:val="21"/>
        </w:rPr>
        <w:t>（7）向采购项目相关人行贿或者提供其他不当利益的；</w:t>
      </w:r>
    </w:p>
    <w:p>
      <w:pPr>
        <w:ind w:firstLine="470" w:firstLineChars="196"/>
        <w:rPr>
          <w:rFonts w:ascii="宋体" w:hAnsi="宋体"/>
          <w:szCs w:val="21"/>
        </w:rPr>
      </w:pPr>
      <w:r>
        <w:rPr>
          <w:rFonts w:ascii="宋体" w:hAnsi="宋体" w:hint="eastAsia"/>
          <w:szCs w:val="21"/>
        </w:rPr>
        <w:t>（8）阻碍、抗拒主管部门监督检查的；</w:t>
      </w:r>
    </w:p>
    <w:p>
      <w:pPr>
        <w:ind w:firstLine="470" w:firstLineChars="196"/>
        <w:rPr>
          <w:rFonts w:ascii="宋体" w:hAnsi="宋体"/>
          <w:szCs w:val="21"/>
        </w:rPr>
      </w:pPr>
      <w:r>
        <w:rPr>
          <w:rFonts w:ascii="宋体" w:hAnsi="宋体" w:hint="eastAsia"/>
          <w:szCs w:val="21"/>
        </w:rPr>
        <w:t>（9）其他违反本条例规定的行为。</w:t>
      </w:r>
    </w:p>
    <w:p>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17" w:name="_Hlk72440769"/>
      <w:r>
        <w:rPr>
          <w:rFonts w:ascii="宋体" w:hAnsi="宋体" w:hint="eastAsia"/>
          <w:szCs w:val="21"/>
        </w:rPr>
        <w:t>采购人或政府集中采购机构</w:t>
      </w:r>
      <w:bookmarkEnd w:id="117"/>
      <w:r>
        <w:rPr>
          <w:rFonts w:ascii="宋体" w:hAnsi="宋体" w:hint="eastAsia"/>
          <w:szCs w:val="21"/>
        </w:rPr>
        <w:t>可将有关情况报同级财政部门，由财政部门根据实际情况记入供应商诚信档案，予以通报：</w:t>
      </w:r>
    </w:p>
    <w:p>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5"/>
        </w:numPr>
        <w:spacing w:before="120" w:beforeLines="50" w:after="120" w:afterLines="50"/>
        <w:ind w:left="562" w:hanging="562"/>
        <w:rPr>
          <w:sz w:val="28"/>
          <w:szCs w:val="28"/>
        </w:rPr>
      </w:pPr>
      <w:bookmarkEnd w:id="101"/>
      <w:r>
        <w:rPr>
          <w:rFonts w:hint="eastAsia"/>
          <w:sz w:val="28"/>
          <w:szCs w:val="28"/>
        </w:rPr>
        <w:t>质疑处理</w:t>
      </w:r>
    </w:p>
    <w:p>
      <w:pPr>
        <w:rPr>
          <w:rFonts w:ascii="黑体" w:eastAsia="黑体" w:hAnsi="宋体"/>
        </w:rPr>
      </w:pPr>
      <w:bookmarkStart w:id="118" w:name="_Hlk72439706"/>
      <w:r>
        <w:rPr>
          <w:rFonts w:ascii="黑体" w:eastAsia="黑体" w:hAnsi="宋体" w:hint="eastAsia"/>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80" w:firstLineChars="200"/>
        <w:rPr>
          <w:rFonts w:ascii="宋体" w:hAnsi="宋体"/>
          <w:szCs w:val="21"/>
        </w:rPr>
      </w:pPr>
      <w:r>
        <w:rPr>
          <w:rFonts w:ascii="宋体" w:hAnsi="宋体" w:hint="eastAsia"/>
          <w:szCs w:val="21"/>
        </w:rPr>
        <w:t>（2）质疑项目的名称、编号；</w:t>
      </w:r>
    </w:p>
    <w:p>
      <w:pPr>
        <w:ind w:firstLine="480" w:firstLineChars="200"/>
        <w:rPr>
          <w:rFonts w:ascii="宋体" w:hAnsi="宋体"/>
          <w:szCs w:val="21"/>
        </w:rPr>
      </w:pPr>
      <w:r>
        <w:rPr>
          <w:rFonts w:ascii="宋体" w:hAnsi="宋体" w:hint="eastAsia"/>
          <w:szCs w:val="21"/>
        </w:rPr>
        <w:t>（3）具体、明确的质疑对象、质疑事项和质疑请求；</w:t>
      </w:r>
    </w:p>
    <w:p>
      <w:pPr>
        <w:ind w:firstLine="480" w:firstLineChars="200"/>
        <w:rPr>
          <w:rFonts w:ascii="宋体" w:hAnsi="宋体"/>
          <w:szCs w:val="21"/>
        </w:rPr>
      </w:pPr>
      <w:r>
        <w:rPr>
          <w:rFonts w:ascii="宋体" w:hAnsi="宋体" w:hint="eastAsia"/>
          <w:szCs w:val="21"/>
        </w:rPr>
        <w:t>（4）因质疑事项而受损害的权益；</w:t>
      </w:r>
    </w:p>
    <w:p>
      <w:pPr>
        <w:ind w:firstLine="480" w:firstLineChars="200"/>
        <w:rPr>
          <w:rFonts w:ascii="宋体" w:hAnsi="宋体"/>
          <w:szCs w:val="21"/>
        </w:rPr>
      </w:pPr>
      <w:r>
        <w:rPr>
          <w:rFonts w:ascii="宋体" w:hAnsi="宋体" w:hint="eastAsia"/>
          <w:szCs w:val="21"/>
        </w:rPr>
        <w:t>（5）事实依据；</w:t>
      </w:r>
    </w:p>
    <w:p>
      <w:pPr>
        <w:ind w:firstLine="480" w:firstLineChars="200"/>
        <w:rPr>
          <w:rFonts w:ascii="宋体" w:hAnsi="宋体"/>
          <w:szCs w:val="21"/>
        </w:rPr>
      </w:pPr>
      <w:r>
        <w:rPr>
          <w:rFonts w:ascii="宋体" w:hAnsi="宋体" w:hint="eastAsia"/>
          <w:szCs w:val="21"/>
        </w:rPr>
        <w:t>（6）必要的法律依据；</w:t>
      </w:r>
    </w:p>
    <w:p>
      <w:pPr>
        <w:ind w:firstLine="480" w:firstLineChars="200"/>
        <w:rPr>
          <w:rFonts w:ascii="宋体" w:hAnsi="宋体"/>
          <w:szCs w:val="21"/>
        </w:rPr>
      </w:pPr>
      <w:r>
        <w:rPr>
          <w:rFonts w:ascii="宋体" w:hAnsi="宋体" w:hint="eastAsia"/>
          <w:szCs w:val="21"/>
        </w:rPr>
        <w:t>（7）提出质疑的日期。</w:t>
      </w:r>
    </w:p>
    <w:p>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szCs w:val="21"/>
        </w:rPr>
      </w:pPr>
      <w:r>
        <w:rPr>
          <w:rFonts w:ascii="宋体" w:hAnsi="宋体" w:hint="eastAsia"/>
          <w:szCs w:val="21"/>
        </w:rPr>
        <w:t>52.4提交</w:t>
      </w:r>
      <w:r>
        <w:rPr>
          <w:rFonts w:ascii="宋体" w:hAnsi="宋体"/>
          <w:szCs w:val="21"/>
        </w:rPr>
        <w:t>材料</w:t>
      </w:r>
    </w:p>
    <w:p>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szCs w:val="21"/>
        </w:rPr>
      </w:pPr>
      <w:r>
        <w:rPr>
          <w:rFonts w:ascii="宋体" w:hAnsi="宋体" w:hint="eastAsia"/>
          <w:szCs w:val="21"/>
        </w:rPr>
        <w:t>52.5收文地点</w:t>
      </w:r>
    </w:p>
    <w:p>
      <w:pPr>
        <w:ind w:firstLine="480" w:firstLineChars="200"/>
        <w:rPr>
          <w:rFonts w:ascii="宋体" w:hAnsi="宋体"/>
          <w:b/>
          <w:bCs/>
          <w:szCs w:val="21"/>
        </w:rPr>
      </w:pPr>
      <w:r>
        <w:rPr>
          <w:rFonts w:ascii="宋体" w:hAnsi="宋体" w:hint="eastAsia"/>
          <w:b/>
          <w:bCs/>
          <w:szCs w:val="21"/>
        </w:rPr>
        <w:t>地址：深圳公共资源交易中心（深圳交易集团有限公司坪山分公司）深圳市坪山区东纵路147号旭丰楼B座8楼，质疑咨询电话：0755-89381536。</w:t>
      </w:r>
    </w:p>
    <w:p>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80" w:firstLineChars="200"/>
        <w:rPr>
          <w:rFonts w:ascii="宋体" w:hAnsi="宋体"/>
          <w:szCs w:val="21"/>
        </w:rPr>
      </w:pPr>
      <w:r>
        <w:rPr>
          <w:rFonts w:ascii="宋体" w:hAnsi="宋体" w:hint="eastAsia"/>
          <w:szCs w:val="21"/>
        </w:rPr>
        <w:t>供应商提交的质疑存在下列情形之一的，不予受理：</w:t>
      </w:r>
    </w:p>
    <w:p>
      <w:pPr>
        <w:ind w:firstLine="480" w:firstLineChars="200"/>
        <w:rPr>
          <w:rFonts w:ascii="宋体" w:hAnsi="宋体"/>
          <w:szCs w:val="21"/>
        </w:rPr>
      </w:pPr>
      <w:r>
        <w:rPr>
          <w:rFonts w:ascii="宋体" w:hAnsi="宋体" w:hint="eastAsia"/>
          <w:szCs w:val="21"/>
        </w:rPr>
        <w:t>（1）质疑主体不满足要求的；</w:t>
      </w:r>
    </w:p>
    <w:p>
      <w:pPr>
        <w:ind w:firstLine="480" w:firstLineChars="200"/>
        <w:rPr>
          <w:rFonts w:ascii="宋体" w:hAnsi="宋体"/>
          <w:szCs w:val="21"/>
        </w:rPr>
      </w:pPr>
      <w:r>
        <w:rPr>
          <w:rFonts w:ascii="宋体" w:hAnsi="宋体" w:hint="eastAsia"/>
          <w:szCs w:val="21"/>
        </w:rPr>
        <w:t>（2）供应商自身权益未受到损害的；</w:t>
      </w:r>
    </w:p>
    <w:p>
      <w:pPr>
        <w:ind w:firstLine="480" w:firstLineChars="200"/>
        <w:rPr>
          <w:rFonts w:ascii="宋体" w:hAnsi="宋体"/>
          <w:szCs w:val="21"/>
        </w:rPr>
      </w:pPr>
      <w:r>
        <w:rPr>
          <w:rFonts w:ascii="宋体" w:hAnsi="宋体" w:hint="eastAsia"/>
          <w:szCs w:val="21"/>
        </w:rPr>
        <w:t>（3）供应商未在法定质疑期限内提出质疑的；</w:t>
      </w:r>
    </w:p>
    <w:p>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80" w:firstLineChars="200"/>
        <w:rPr>
          <w:rFonts w:ascii="宋体" w:hAnsi="宋体"/>
          <w:szCs w:val="21"/>
        </w:rPr>
      </w:pPr>
      <w:r>
        <w:rPr>
          <w:rFonts w:ascii="宋体" w:hAnsi="宋体" w:hint="eastAsia"/>
          <w:szCs w:val="21"/>
        </w:rPr>
        <w:t>（5）其他不符合受理条件情形的。</w:t>
      </w:r>
    </w:p>
    <w:p>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rPr>
      </w:pPr>
      <w:r>
        <w:rPr>
          <w:rFonts w:ascii="黑体" w:eastAsia="黑体" w:hAnsi="宋体" w:hint="eastAsia"/>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
      <w:pPr>
        <w:pStyle w:val="Heading2"/>
        <w:keepNext/>
        <w:keepLines/>
        <w:numPr>
          <w:ilvl w:val="0"/>
          <w:numId w:val="5"/>
        </w:numPr>
        <w:tabs>
          <w:tab w:val="clear" w:pos="720"/>
          <w:tab w:val="left" w:pos="3960"/>
        </w:tabs>
        <w:spacing w:before="120" w:beforeLines="50" w:after="120" w:afterLines="50"/>
        <w:ind w:left="3030"/>
        <w:jc w:val="left"/>
        <w:rPr>
          <w:sz w:val="28"/>
          <w:szCs w:val="28"/>
        </w:rPr>
      </w:pPr>
      <w:bookmarkStart w:id="119" w:name="_Toc12615"/>
      <w:bookmarkStart w:id="120" w:name="_Toc57050294"/>
      <w:bookmarkStart w:id="121" w:name="_Toc31365"/>
      <w:bookmarkStart w:id="122" w:name="_Toc1680"/>
      <w:bookmarkStart w:id="123" w:name="_Toc482371459"/>
      <w:r>
        <w:rPr>
          <w:rFonts w:hint="eastAsia"/>
          <w:sz w:val="28"/>
          <w:szCs w:val="28"/>
        </w:rPr>
        <w:t>招标代理服务取费说明</w:t>
      </w:r>
      <w:bookmarkEnd w:id="119"/>
      <w:bookmarkEnd w:id="120"/>
      <w:bookmarkEnd w:id="121"/>
      <w:bookmarkEnd w:id="122"/>
      <w:bookmarkEnd w:id="123"/>
    </w:p>
    <w:p/>
    <w:p>
      <w:pPr>
        <w:rPr>
          <w:rFonts w:ascii="黑体" w:eastAsia="黑体" w:hAnsi="宋体"/>
        </w:rPr>
      </w:pPr>
      <w:r>
        <w:rPr>
          <w:rFonts w:ascii="黑体" w:eastAsia="黑体" w:hAnsi="宋体" w:hint="eastAsia"/>
        </w:rPr>
        <w:t>54.关于代理服务费</w:t>
      </w:r>
    </w:p>
    <w:p>
      <w:pPr>
        <w:spacing w:line="360" w:lineRule="auto"/>
        <w:ind w:firstLine="480" w:firstLineChars="200"/>
        <w:rPr>
          <w:rFonts w:ascii="宋体" w:eastAsia="宋体" w:hAnsi="宋体" w:cs="宋体"/>
          <w:sz w:val="21"/>
          <w:szCs w:val="21"/>
        </w:rPr>
      </w:pPr>
      <w:r>
        <w:rPr>
          <w:rFonts w:ascii="宋体" w:eastAsia="宋体" w:hAnsi="宋体" w:cs="宋体"/>
        </w:rPr>
        <w:t>根据最新年度政府集中采购目录及限额标准，集中采购目录范围内项目，按照发改部门“以事定费”方案确定的收费标准执行，集中采购目录以外的项目，根据《深圳交易集团有限公司关于业务收费标准的通知》（深交易〔2020〕123号）以及《深圳市财政委员会关于规范深圳市社会采购代理机构管理有关事项的补充通知》（深财购〔2018〕27 号），按以下标准以差额定率累进法计算收取。</w:t>
      </w:r>
    </w:p>
    <w:tbl>
      <w:tblPr>
        <w:tblStyle w:val="TableNorm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5"/>
        <w:gridCol w:w="1799"/>
        <w:gridCol w:w="1799"/>
        <w:gridCol w:w="1799"/>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中标金额</w:t>
            </w:r>
          </w:p>
        </w:tc>
        <w:tc>
          <w:tcPr>
            <w:tcW w:w="1799" w:type="dxa"/>
            <w:vAlign w:val="center"/>
          </w:tcPr>
          <w:p>
            <w:pPr>
              <w:spacing w:line="360" w:lineRule="auto"/>
              <w:jc w:val="center"/>
              <w:rPr>
                <w:rFonts w:ascii="宋体" w:hAnsi="宋体" w:cs="宋体"/>
                <w:sz w:val="22"/>
              </w:rPr>
            </w:pPr>
            <w:r>
              <w:rPr>
                <w:rFonts w:ascii="宋体" w:hAnsi="宋体" w:cs="宋体" w:hint="eastAsia"/>
                <w:sz w:val="22"/>
              </w:rPr>
              <w:t>货物招标</w:t>
            </w:r>
          </w:p>
        </w:tc>
        <w:tc>
          <w:tcPr>
            <w:tcW w:w="1799" w:type="dxa"/>
            <w:vAlign w:val="center"/>
          </w:tcPr>
          <w:p>
            <w:pPr>
              <w:spacing w:line="360" w:lineRule="auto"/>
              <w:jc w:val="center"/>
              <w:rPr>
                <w:rFonts w:ascii="宋体" w:hAnsi="宋体" w:cs="宋体"/>
                <w:sz w:val="22"/>
              </w:rPr>
            </w:pPr>
            <w:r>
              <w:rPr>
                <w:rFonts w:ascii="宋体" w:hAnsi="宋体" w:cs="宋体" w:hint="eastAsia"/>
                <w:sz w:val="22"/>
              </w:rPr>
              <w:t>服务招标</w:t>
            </w:r>
          </w:p>
        </w:tc>
        <w:tc>
          <w:tcPr>
            <w:tcW w:w="1799" w:type="dxa"/>
            <w:vAlign w:val="center"/>
          </w:tcPr>
          <w:p>
            <w:pPr>
              <w:spacing w:line="360" w:lineRule="auto"/>
              <w:jc w:val="center"/>
              <w:rPr>
                <w:rFonts w:ascii="宋体" w:hAnsi="宋体" w:cs="宋体"/>
                <w:sz w:val="22"/>
              </w:rPr>
            </w:pPr>
            <w:r>
              <w:rPr>
                <w:rFonts w:ascii="宋体" w:hAnsi="宋体" w:cs="宋体" w:hint="eastAsia"/>
                <w:sz w:val="22"/>
              </w:rPr>
              <w:t>工程招标</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100万元以下</w:t>
            </w:r>
          </w:p>
        </w:tc>
        <w:tc>
          <w:tcPr>
            <w:tcW w:w="1799" w:type="dxa"/>
            <w:vAlign w:val="center"/>
          </w:tcPr>
          <w:p>
            <w:pPr>
              <w:spacing w:line="360" w:lineRule="auto"/>
              <w:jc w:val="center"/>
              <w:rPr>
                <w:rFonts w:ascii="宋体" w:hAnsi="宋体" w:cs="宋体"/>
                <w:sz w:val="22"/>
              </w:rPr>
            </w:pPr>
            <w:r>
              <w:rPr>
                <w:rFonts w:ascii="宋体" w:hAnsi="宋体" w:cs="宋体" w:hint="eastAsia"/>
                <w:sz w:val="22"/>
              </w:rPr>
              <w:t>1.5%</w:t>
            </w:r>
          </w:p>
        </w:tc>
        <w:tc>
          <w:tcPr>
            <w:tcW w:w="1799" w:type="dxa"/>
            <w:vAlign w:val="center"/>
          </w:tcPr>
          <w:p>
            <w:pPr>
              <w:spacing w:line="360" w:lineRule="auto"/>
              <w:jc w:val="center"/>
              <w:rPr>
                <w:rFonts w:ascii="宋体" w:hAnsi="宋体" w:cs="宋体"/>
                <w:sz w:val="22"/>
              </w:rPr>
            </w:pPr>
            <w:r>
              <w:rPr>
                <w:rFonts w:ascii="宋体" w:hAnsi="宋体" w:cs="宋体" w:hint="eastAsia"/>
                <w:sz w:val="22"/>
              </w:rPr>
              <w:t>1.5%</w:t>
            </w:r>
          </w:p>
        </w:tc>
        <w:tc>
          <w:tcPr>
            <w:tcW w:w="1799" w:type="dxa"/>
            <w:vAlign w:val="center"/>
          </w:tcPr>
          <w:p>
            <w:pPr>
              <w:spacing w:line="360" w:lineRule="auto"/>
              <w:jc w:val="center"/>
              <w:rPr>
                <w:rFonts w:ascii="宋体" w:hAnsi="宋体" w:cs="宋体"/>
                <w:sz w:val="22"/>
              </w:rPr>
            </w:pPr>
            <w:r>
              <w:rPr>
                <w:rFonts w:ascii="宋体" w:hAnsi="宋体" w:cs="宋体" w:hint="eastAsia"/>
                <w:sz w:val="22"/>
              </w:rPr>
              <w:t>1.0%</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100万元（含）-500万元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1.1%</w:t>
            </w:r>
          </w:p>
        </w:tc>
        <w:tc>
          <w:tcPr>
            <w:tcW w:w="1799" w:type="dxa"/>
            <w:vAlign w:val="center"/>
          </w:tcPr>
          <w:p>
            <w:pPr>
              <w:spacing w:line="360" w:lineRule="auto"/>
              <w:jc w:val="center"/>
              <w:rPr>
                <w:rFonts w:ascii="宋体" w:hAnsi="宋体" w:cs="宋体"/>
                <w:sz w:val="22"/>
              </w:rPr>
            </w:pPr>
            <w:r>
              <w:rPr>
                <w:rFonts w:ascii="宋体" w:hAnsi="宋体" w:cs="宋体" w:hint="eastAsia"/>
                <w:sz w:val="22"/>
              </w:rPr>
              <w:t>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0.7%</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500万元（含）-1000万元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0.45%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0.55%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1000万元（含）-5000万元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0.25%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0.35%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5000万元（含）-1亿元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0.25%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0.1%</w:t>
            </w:r>
          </w:p>
        </w:tc>
        <w:tc>
          <w:tcPr>
            <w:tcW w:w="1799" w:type="dxa"/>
            <w:vAlign w:val="center"/>
          </w:tcPr>
          <w:p>
            <w:pPr>
              <w:spacing w:line="360" w:lineRule="auto"/>
              <w:jc w:val="center"/>
              <w:rPr>
                <w:rFonts w:ascii="宋体" w:hAnsi="宋体" w:cs="宋体"/>
                <w:sz w:val="22"/>
              </w:rPr>
            </w:pPr>
            <w:r>
              <w:rPr>
                <w:rFonts w:ascii="宋体" w:hAnsi="宋体" w:cs="宋体" w:hint="eastAsia"/>
                <w:sz w:val="22"/>
              </w:rPr>
              <w:t>0.2%</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1亿元（含）-5亿元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5亿元（含）-10亿元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0.035%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0.035%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0.035%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10亿元（含）-50亿元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0.008%</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50亿元（含）-100亿元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0.006%</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0.006%</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0.006%</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100亿元（含）以上</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0.004%</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0.004%</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0.004%</w:t>
            </w:r>
          </w:p>
        </w:tc>
      </w:tr>
    </w:tbl>
    <w:p>
      <w:pPr>
        <w:spacing w:line="360" w:lineRule="auto"/>
        <w:rPr>
          <w:rFonts w:ascii="宋体" w:hAnsi="宋体" w:cs="宋体"/>
          <w:sz w:val="22"/>
        </w:rPr>
      </w:pPr>
    </w:p>
    <w:p>
      <w:pPr>
        <w:spacing w:line="360" w:lineRule="auto"/>
        <w:rPr>
          <w:rFonts w:ascii="宋体" w:hAnsi="宋体" w:cs="宋体"/>
          <w:sz w:val="22"/>
        </w:rPr>
      </w:pPr>
      <w:r>
        <w:rPr>
          <w:rFonts w:ascii="宋体" w:hAnsi="宋体" w:cs="宋体" w:hint="eastAsia"/>
          <w:sz w:val="22"/>
        </w:rPr>
        <w:t>以某5000万项目货物类招标为例：</w:t>
      </w:r>
    </w:p>
    <w:p>
      <w:pPr>
        <w:spacing w:line="360" w:lineRule="auto"/>
        <w:rPr>
          <w:rFonts w:ascii="宋体" w:hAnsi="宋体" w:cs="宋体"/>
          <w:sz w:val="22"/>
        </w:rPr>
      </w:pPr>
      <w:r>
        <w:rPr>
          <w:rFonts w:ascii="宋体" w:hAnsi="宋体" w:cs="宋体" w:hint="eastAsia"/>
          <w:sz w:val="22"/>
        </w:rPr>
        <w:t>其计算基准价为中标价5000万元，则招标代理服务费计算为：</w:t>
      </w:r>
    </w:p>
    <w:p>
      <w:pPr>
        <w:spacing w:line="360" w:lineRule="auto"/>
        <w:rPr>
          <w:rFonts w:ascii="宋体" w:hAnsi="宋体" w:cs="宋体"/>
          <w:sz w:val="22"/>
        </w:rPr>
      </w:pPr>
      <w:r>
        <w:rPr>
          <w:rFonts w:ascii="宋体" w:hAnsi="宋体" w:cs="宋体" w:hint="eastAsia"/>
          <w:sz w:val="22"/>
        </w:rPr>
        <w:t xml:space="preserve">100万元×1.5%=1.5万元   </w:t>
      </w:r>
    </w:p>
    <w:p>
      <w:pPr>
        <w:spacing w:line="360" w:lineRule="auto"/>
        <w:rPr>
          <w:rFonts w:ascii="宋体" w:hAnsi="宋体" w:cs="宋体"/>
          <w:sz w:val="22"/>
        </w:rPr>
      </w:pPr>
      <w:r>
        <w:rPr>
          <w:rFonts w:ascii="宋体" w:hAnsi="宋体" w:cs="宋体" w:hint="eastAsia"/>
          <w:sz w:val="22"/>
        </w:rPr>
        <w:t xml:space="preserve">（500-100）万元×1.1%=4.4万元 </w:t>
      </w:r>
    </w:p>
    <w:p>
      <w:pPr>
        <w:spacing w:line="360" w:lineRule="auto"/>
        <w:rPr>
          <w:rFonts w:ascii="宋体" w:hAnsi="宋体" w:cs="宋体"/>
          <w:sz w:val="22"/>
        </w:rPr>
      </w:pPr>
      <w:r>
        <w:rPr>
          <w:rFonts w:ascii="宋体" w:hAnsi="宋体" w:cs="宋体" w:hint="eastAsia"/>
          <w:sz w:val="22"/>
        </w:rPr>
        <w:t xml:space="preserve">（1000-500）万元×0.8%=4万元 </w:t>
      </w:r>
    </w:p>
    <w:p>
      <w:pPr>
        <w:spacing w:line="360" w:lineRule="auto"/>
        <w:rPr>
          <w:rFonts w:ascii="宋体" w:hAnsi="宋体" w:cs="宋体"/>
          <w:sz w:val="22"/>
        </w:rPr>
      </w:pPr>
      <w:r>
        <w:rPr>
          <w:rFonts w:ascii="宋体" w:hAnsi="宋体" w:cs="宋体" w:hint="eastAsia"/>
          <w:sz w:val="22"/>
        </w:rPr>
        <w:t>（5000-1000）万元×0.5%=20万元</w:t>
      </w:r>
    </w:p>
    <w:p>
      <w:pPr>
        <w:spacing w:line="360" w:lineRule="auto"/>
        <w:rPr>
          <w:rFonts w:ascii="宋体" w:hAnsi="宋体" w:cs="宋体"/>
        </w:rPr>
      </w:pPr>
      <w:r>
        <w:rPr>
          <w:rFonts w:ascii="宋体" w:hAnsi="宋体" w:cs="宋体" w:hint="eastAsia"/>
          <w:sz w:val="22"/>
        </w:rPr>
        <w:t>因此，该项目招标代理服务费为：（1.5+4.4+4+20）=29.9万元。</w:t>
      </w:r>
    </w:p>
    <w:p>
      <w:pPr>
        <w:spacing w:line="360" w:lineRule="auto"/>
        <w:rPr>
          <w:rFonts w:ascii="宋体" w:hAnsi="宋体" w:cs="宋体"/>
        </w:rPr>
      </w:pPr>
      <w:r>
        <w:rPr>
          <w:rFonts w:ascii="宋体" w:hAnsi="宋体" w:cs="宋体" w:hint="eastAsia"/>
        </w:rPr>
        <w:t>59.收费银行账户</w:t>
      </w:r>
    </w:p>
    <w:p>
      <w:pPr>
        <w:pStyle w:val="BodyText"/>
        <w:ind w:firstLine="480" w:firstLineChars="200"/>
      </w:pPr>
      <w:r>
        <w:rPr>
          <w:rFonts w:hint="eastAsia"/>
        </w:rPr>
        <w:t>账户名称：深圳交易集团有限公司</w:t>
      </w:r>
    </w:p>
    <w:p>
      <w:pPr>
        <w:pStyle w:val="BodyText"/>
        <w:ind w:firstLine="480" w:firstLineChars="200"/>
      </w:pPr>
      <w:r>
        <w:rPr>
          <w:rFonts w:hint="eastAsia"/>
        </w:rPr>
        <w:t>银行名称：中国民生银行</w:t>
      </w:r>
    </w:p>
    <w:p>
      <w:pPr>
        <w:pStyle w:val="BodyText"/>
        <w:ind w:firstLine="480" w:firstLineChars="200"/>
      </w:pPr>
      <w:r>
        <w:rPr>
          <w:rFonts w:hint="eastAsia"/>
        </w:rPr>
        <w:t>开户行：民生银行深圳五洲支行</w:t>
      </w:r>
    </w:p>
    <w:p>
      <w:pPr>
        <w:pStyle w:val="BodyText"/>
        <w:ind w:firstLine="480" w:firstLineChars="200"/>
      </w:pPr>
      <w:r>
        <w:rPr>
          <w:rFonts w:hint="eastAsia"/>
        </w:rPr>
        <w:t>银行账号：632766208</w:t>
      </w:r>
    </w:p>
    <w:p>
      <w:pPr>
        <w:pStyle w:val="BodyText"/>
        <w:ind w:firstLine="420"/>
      </w:pPr>
      <w:r>
        <w:rPr>
          <w:rFonts w:ascii="宋体" w:hAnsi="宋体" w:cs="宋体" w:hint="eastAsia"/>
        </w:rPr>
        <w:t>备注：坪山分公司（***项目）招标代理费用。</w:t>
      </w:r>
    </w:p>
    <w:p>
      <w:pPr>
        <w:jc w:val="center"/>
      </w:pPr>
      <w:r>
        <w:t>---- END ----</w:t>
      </w:r>
    </w:p>
    <w:p>
      <w:bookmarkEnd w:id="118"/>
    </w:p>
    <w:p>
      <w:pPr>
        <w:rPr>
          <w:rFonts w:ascii="宋体" w:hAnsi="宋体"/>
          <w:szCs w:val="21"/>
        </w:rPr>
      </w:pPr>
    </w:p>
    <w:p/>
    <w:p/>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长城仿宋">
    <w:altName w:val="仿宋"/>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14E6A75"/>
    <w:lvl w:ilvl="0">
      <w:start w:val="1"/>
      <w:numFmt w:val="decimal"/>
      <w:suff w:val="nothing"/>
      <w:lvlText w:val="（%1）"/>
      <w:lvlJc w:val="left"/>
    </w:lvl>
  </w:abstractNum>
  <w:abstractNum w:abstractNumId="1">
    <w:nsid w:val="00000002"/>
    <w:multiLevelType w:val="multilevel"/>
    <w:tmpl w:val="04E331A8"/>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3208236E"/>
    <w:lvl w:ilvl="0">
      <w:start w:val="1"/>
      <w:numFmt w:val="decimal"/>
      <w:lvlText w:val="（%1）"/>
      <w:lvlJc w:val="left"/>
      <w:pPr>
        <w:ind w:left="567" w:hanging="56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04"/>
    <w:multiLevelType w:val="singleLevel"/>
    <w:tmpl w:val="00000003"/>
    <w:lvl w:ilvl="0">
      <w:start w:val="1"/>
      <w:numFmt w:val="chineseCounting"/>
      <w:suff w:val="space"/>
      <w:lvlText w:val="第%1章"/>
      <w:lvlJc w:val="left"/>
      <w:rPr>
        <w:rFonts w:hint="eastAsia"/>
      </w:rPr>
    </w:lvl>
  </w:abstractNum>
  <w:abstractNum w:abstractNumId="4">
    <w:nsid w:val="00000005"/>
    <w:multiLevelType w:val="multilevel"/>
    <w:tmpl w:val="00000005"/>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
    <w:qFormat/>
    <w:pPr>
      <w:adjustRightInd w:val="0"/>
      <w:jc w:val="center"/>
      <w:textAlignment w:val="baseline"/>
      <w:outlineLvl w:val="1"/>
    </w:pPr>
    <w:rPr>
      <w:szCs w:val="20"/>
    </w:rPr>
  </w:style>
  <w:style w:type="paragraph" w:styleId="Heading3">
    <w:name w:val="heading 3"/>
    <w:basedOn w:val="Heading4"/>
    <w:next w:val="Normal"/>
    <w:link w:val="3"/>
    <w:uiPriority w:val="9"/>
    <w:qFormat/>
    <w:pPr>
      <w:spacing w:before="260" w:after="260"/>
      <w:outlineLvl w:val="2"/>
    </w:pPr>
    <w:rPr>
      <w:rFonts w:ascii="宋体" w:eastAsia="宋体" w:hAnsi="宋体"/>
      <w:szCs w:val="32"/>
    </w:rPr>
  </w:style>
  <w:style w:type="paragraph" w:styleId="Heading4">
    <w:name w:val="heading 4"/>
    <w:basedOn w:val="Normal"/>
    <w:next w:val="Normal"/>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a"/>
    <w:uiPriority w:val="99"/>
    <w:qFormat/>
  </w:style>
  <w:style w:type="character" w:customStyle="1" w:styleId="a">
    <w:name w:val="普通(网站) 字符"/>
    <w:link w:val="NormalWeb"/>
    <w:qFormat/>
    <w:rPr>
      <w:kern w:val="2"/>
      <w:sz w:val="24"/>
      <w:szCs w:val="24"/>
    </w:rPr>
  </w:style>
  <w:style w:type="paragraph" w:styleId="BodyText">
    <w:name w:val="Body Text"/>
    <w:basedOn w:val="Normal"/>
    <w:next w:val="Quote"/>
    <w:link w:val="a0"/>
    <w:qFormat/>
    <w:pPr>
      <w:spacing w:line="360" w:lineRule="auto"/>
    </w:pPr>
    <w:rPr>
      <w:b/>
      <w:bCs/>
    </w:rPr>
  </w:style>
  <w:style w:type="paragraph" w:styleId="Quote">
    <w:name w:val="Quote"/>
    <w:next w:val="Normal"/>
    <w:uiPriority w:val="99"/>
    <w:qFormat/>
    <w:pPr>
      <w:widowControl w:val="0"/>
      <w:jc w:val="both"/>
    </w:pPr>
    <w:rPr>
      <w:rFonts w:ascii="Calibri" w:eastAsia="宋体" w:hAnsi="Calibri" w:cs="Calibri"/>
      <w:i/>
      <w:iCs/>
      <w:color w:val="000000"/>
      <w:kern w:val="2"/>
      <w:sz w:val="22"/>
      <w:szCs w:val="22"/>
      <w:lang w:val="en-US" w:eastAsia="zh-CN" w:bidi="ar-SA"/>
    </w:rPr>
  </w:style>
  <w:style w:type="character" w:customStyle="1" w:styleId="a0">
    <w:name w:val="正文文本 字符"/>
    <w:link w:val="BodyText"/>
    <w:qFormat/>
    <w:rPr>
      <w:rFonts w:eastAsia="宋体"/>
      <w:b/>
      <w:bCs/>
      <w:kern w:val="2"/>
      <w:sz w:val="24"/>
      <w:szCs w:val="24"/>
      <w:lang w:val="en-US" w:eastAsia="zh-CN" w:bidi="ar-SA"/>
    </w:rPr>
  </w:style>
  <w:style w:type="paragraph" w:styleId="ListParagraph">
    <w:name w:val="List Paragraph"/>
    <w:basedOn w:val="Normal"/>
    <w:uiPriority w:val="34"/>
    <w:qFormat/>
    <w:pPr>
      <w:ind w:firstLine="420" w:firstLineChars="200"/>
    </w:pPr>
    <w:rPr>
      <w:rFonts w:ascii="Calibri" w:hAnsi="Calibri"/>
      <w:szCs w:val="22"/>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2">
    <w:name w:val="标题 2 字符"/>
    <w:link w:val="Heading2"/>
    <w:qFormat/>
    <w:rPr>
      <w:rFonts w:ascii="宋体" w:eastAsia="宋体" w:hAnsi="宋体"/>
      <w:b/>
      <w:bCs/>
      <w:sz w:val="24"/>
      <w:lang w:val="en-US" w:eastAsia="zh-CN" w:bidi="ar-SA"/>
    </w:rPr>
  </w:style>
  <w:style w:type="paragraph" w:styleId="NormalIndent">
    <w:name w:val="Normal Indent"/>
    <w:basedOn w:val="Normal"/>
    <w:link w:val="a1"/>
    <w:qFormat/>
    <w:pPr>
      <w:ind w:firstLine="420"/>
    </w:pPr>
    <w:rPr>
      <w:szCs w:val="20"/>
    </w:rPr>
  </w:style>
  <w:style w:type="character" w:customStyle="1" w:styleId="a1">
    <w:name w:val="正文缩进 字符"/>
    <w:link w:val="NormalIndent"/>
    <w:qFormat/>
    <w:rPr>
      <w:rFonts w:eastAsia="宋体"/>
      <w:kern w:val="2"/>
      <w:sz w:val="21"/>
      <w:lang w:val="en-US" w:eastAsia="zh-CN"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qFormat/>
    <w:rPr>
      <w:rFonts w:ascii="黑体" w:eastAsia="黑体"/>
      <w:bCs/>
      <w:sz w:val="30"/>
    </w:rPr>
  </w:style>
  <w:style w:type="paragraph" w:customStyle="1" w:styleId="20">
    <w:name w:val="样式 首行缩进:  2 字符"/>
    <w:basedOn w:val="Normal"/>
    <w:qFormat/>
    <w:pPr>
      <w:ind w:firstLine="480" w:firstLineChars="200"/>
    </w:pPr>
    <w:rPr>
      <w:rFonts w:ascii="Calibri" w:hAnsi="Calibri" w:cs="宋体"/>
      <w:color w:val="00000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38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